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5E20C">
      <w:pPr>
        <w:adjustRightInd w:val="0"/>
        <w:snapToGrid w:val="0"/>
        <w:spacing w:line="560" w:lineRule="exact"/>
        <w:rPr>
          <w:rFonts w:hint="eastAsia" w:ascii="仿宋_GB2312" w:eastAsia="仿宋_GB2312"/>
          <w:sz w:val="32"/>
          <w:szCs w:val="32"/>
          <w:lang w:val="en-US" w:eastAsia="zh-CN"/>
        </w:rPr>
      </w:pPr>
      <w:r>
        <w:rPr>
          <w:rFonts w:hint="eastAsia" w:ascii="仿宋_GB2312" w:eastAsia="仿宋_GB2312"/>
          <w:sz w:val="32"/>
          <w:szCs w:val="32"/>
        </w:rPr>
        <w:t>附件</w:t>
      </w:r>
      <w:r>
        <w:rPr>
          <w:rFonts w:hint="eastAsia" w:ascii="仿宋_GB2312" w:eastAsia="仿宋_GB2312"/>
          <w:sz w:val="32"/>
          <w:szCs w:val="32"/>
          <w:lang w:val="en-US" w:eastAsia="zh-CN"/>
        </w:rPr>
        <w:t>3</w:t>
      </w:r>
    </w:p>
    <w:p w14:paraId="16F8D0D6">
      <w:pPr>
        <w:spacing w:line="560" w:lineRule="exact"/>
        <w:jc w:val="center"/>
        <w:rPr>
          <w:rFonts w:ascii="宋体" w:hAnsi="宋体" w:cs="宋体"/>
          <w:b/>
          <w:bCs/>
          <w:sz w:val="44"/>
          <w:szCs w:val="44"/>
        </w:rPr>
      </w:pPr>
    </w:p>
    <w:p w14:paraId="792B6B17">
      <w:pPr>
        <w:spacing w:line="560" w:lineRule="exact"/>
        <w:jc w:val="center"/>
        <w:rPr>
          <w:rFonts w:hint="eastAsia" w:ascii="宋体" w:hAnsi="宋体" w:cs="宋体"/>
          <w:b/>
          <w:bCs/>
          <w:sz w:val="44"/>
          <w:szCs w:val="44"/>
        </w:rPr>
      </w:pPr>
      <w:r>
        <w:rPr>
          <w:rFonts w:hint="default" w:ascii="宋体" w:hAnsi="宋体" w:cs="宋体"/>
          <w:b/>
          <w:bCs/>
          <w:sz w:val="44"/>
          <w:szCs w:val="44"/>
          <w:lang w:val="en-US"/>
        </w:rPr>
        <w:t xml:space="preserve"> </w:t>
      </w:r>
      <w:r>
        <w:rPr>
          <w:rFonts w:hint="eastAsia" w:ascii="宋体" w:hAnsi="宋体" w:cs="宋体"/>
          <w:b/>
          <w:bCs/>
          <w:sz w:val="44"/>
          <w:szCs w:val="44"/>
          <w:lang w:val="en-US" w:eastAsia="zh-CN"/>
        </w:rPr>
        <w:t>长安区房屋征收中心</w:t>
      </w:r>
      <w:r>
        <w:rPr>
          <w:rFonts w:hint="eastAsia" w:ascii="宋体" w:hAnsi="宋体" w:cs="宋体"/>
          <w:b/>
          <w:bCs/>
          <w:sz w:val="44"/>
          <w:szCs w:val="44"/>
        </w:rPr>
        <w:t>部门</w:t>
      </w:r>
    </w:p>
    <w:p w14:paraId="3EDE20D4">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default" w:ascii="宋体" w:hAnsi="宋体" w:cs="宋体"/>
          <w:b/>
          <w:bCs/>
          <w:sz w:val="44"/>
          <w:szCs w:val="44"/>
          <w:lang w:val="en-US" w:eastAsia="zh-CN"/>
        </w:rPr>
        <w:t>5</w:t>
      </w:r>
      <w:r>
        <w:rPr>
          <w:rFonts w:hint="eastAsia" w:ascii="宋体" w:hAnsi="宋体" w:cs="宋体"/>
          <w:b/>
          <w:bCs/>
          <w:sz w:val="44"/>
          <w:szCs w:val="44"/>
        </w:rPr>
        <w:t>年度整体支出绩效自评报告</w:t>
      </w:r>
    </w:p>
    <w:p w14:paraId="6210A85A">
      <w:pPr>
        <w:spacing w:line="560" w:lineRule="exact"/>
        <w:jc w:val="center"/>
        <w:rPr>
          <w:rFonts w:ascii="华文楷体" w:eastAsia="华文楷体"/>
          <w:sz w:val="32"/>
          <w:szCs w:val="32"/>
        </w:rPr>
      </w:pPr>
    </w:p>
    <w:p w14:paraId="7572F27C">
      <w:pPr>
        <w:pStyle w:val="3"/>
      </w:pPr>
    </w:p>
    <w:p w14:paraId="76EB9ABF">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w:t>
      </w:r>
      <w:r>
        <w:rPr>
          <w:rFonts w:hint="eastAsia" w:ascii="仿宋" w:hAnsi="仿宋" w:eastAsia="仿宋"/>
          <w:sz w:val="32"/>
          <w:szCs w:val="32"/>
          <w:lang w:eastAsia="zh-CN"/>
        </w:rPr>
        <w:t>区</w:t>
      </w:r>
      <w:r>
        <w:rPr>
          <w:rFonts w:hint="eastAsia" w:ascii="仿宋" w:hAnsi="仿宋" w:eastAsia="仿宋"/>
          <w:sz w:val="32"/>
          <w:szCs w:val="32"/>
        </w:rPr>
        <w:t>委</w:t>
      </w:r>
      <w:r>
        <w:rPr>
          <w:rFonts w:hint="eastAsia" w:ascii="仿宋" w:hAnsi="仿宋" w:eastAsia="仿宋"/>
          <w:sz w:val="32"/>
          <w:szCs w:val="32"/>
          <w:lang w:eastAsia="zh-CN"/>
        </w:rPr>
        <w:t>区</w:t>
      </w:r>
      <w:r>
        <w:rPr>
          <w:rFonts w:hint="eastAsia" w:ascii="仿宋" w:hAnsi="仿宋" w:eastAsia="仿宋"/>
          <w:sz w:val="32"/>
          <w:szCs w:val="32"/>
        </w:rPr>
        <w:t>政府《关于全面落实预算绩效管理的实施意见》（</w:t>
      </w:r>
      <w:r>
        <w:rPr>
          <w:rFonts w:hint="eastAsia" w:ascii="仿宋" w:hAnsi="仿宋" w:eastAsia="仿宋"/>
          <w:sz w:val="32"/>
          <w:szCs w:val="32"/>
          <w:lang w:eastAsia="zh-CN"/>
        </w:rPr>
        <w:t>长</w:t>
      </w:r>
      <w:r>
        <w:rPr>
          <w:rFonts w:hint="eastAsia" w:ascii="仿宋" w:hAnsi="仿宋" w:eastAsia="仿宋"/>
          <w:sz w:val="32"/>
          <w:szCs w:val="32"/>
        </w:rPr>
        <w:t>发﹝2019﹞8号）文件精神，遵循“科学性、规范性、客观性和公正性”的原则，对</w:t>
      </w:r>
      <w:r>
        <w:rPr>
          <w:rFonts w:hint="eastAsia" w:ascii="仿宋" w:hAnsi="仿宋" w:eastAsia="仿宋"/>
          <w:sz w:val="32"/>
          <w:szCs w:val="32"/>
          <w:lang w:eastAsia="zh-CN"/>
        </w:rPr>
        <w:t>征收中心</w:t>
      </w:r>
      <w:r>
        <w:rPr>
          <w:rFonts w:hint="eastAsia" w:ascii="仿宋" w:hAnsi="仿宋" w:eastAsia="仿宋"/>
          <w:sz w:val="32"/>
          <w:szCs w:val="32"/>
        </w:rPr>
        <w:t>部门202</w:t>
      </w:r>
      <w:r>
        <w:rPr>
          <w:rFonts w:hint="default"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01B86076">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2E4DD04C">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6C63CC64">
      <w:pPr>
        <w:pStyle w:val="2"/>
        <w:spacing w:before="0" w:after="0" w:line="580" w:lineRule="exact"/>
        <w:ind w:firstLine="640" w:firstLineChars="200"/>
        <w:jc w:val="left"/>
        <w:rPr>
          <w:rFonts w:hint="eastAsia" w:ascii="仿宋_GB2312" w:hAnsi="Calibri" w:eastAsia="仿宋_GB2312" w:cs="ArialUnicodeMS"/>
          <w:b w:val="0"/>
          <w:bCs w:val="0"/>
          <w:kern w:val="0"/>
          <w:sz w:val="32"/>
          <w:szCs w:val="32"/>
          <w:highlight w:val="none"/>
          <w:lang w:val="en-US" w:eastAsia="zh-CN" w:bidi="ar-SA"/>
        </w:rPr>
      </w:pPr>
      <w:r>
        <w:rPr>
          <w:rFonts w:hint="eastAsia" w:ascii="仿宋_GB2312" w:hAnsi="Calibri" w:eastAsia="仿宋_GB2312" w:cs="ArialUnicodeMS"/>
          <w:b w:val="0"/>
          <w:bCs w:val="0"/>
          <w:kern w:val="0"/>
          <w:sz w:val="32"/>
          <w:szCs w:val="32"/>
          <w:highlight w:val="none"/>
          <w:lang w:val="en-US" w:eastAsia="zh-CN" w:bidi="ar-SA"/>
        </w:rPr>
        <w:t>一、部门职责</w:t>
      </w:r>
    </w:p>
    <w:p w14:paraId="30662443">
      <w:pPr>
        <w:keepNext w:val="0"/>
        <w:keepLines w:val="0"/>
        <w:pageBreakBefore w:val="0"/>
        <w:widowControl w:val="0"/>
        <w:kinsoku/>
        <w:wordWrap/>
        <w:overflowPunct/>
        <w:topLinePunct w:val="0"/>
        <w:autoSpaceDE w:val="0"/>
        <w:autoSpaceDN w:val="0"/>
        <w:bidi w:val="0"/>
        <w:adjustRightInd w:val="0"/>
        <w:snapToGrid/>
        <w:spacing w:after="0" w:line="560" w:lineRule="exact"/>
        <w:ind w:firstLine="640" w:firstLineChars="200"/>
        <w:jc w:val="left"/>
        <w:textAlignment w:val="auto"/>
        <w:outlineLvl w:val="9"/>
        <w:rPr>
          <w:rFonts w:hint="eastAsia" w:ascii="仿宋_GB2312" w:hAnsi="Calibri" w:eastAsia="仿宋_GB2312" w:cs="ArialUnicodeMS"/>
          <w:kern w:val="0"/>
          <w:sz w:val="32"/>
          <w:szCs w:val="32"/>
          <w:highlight w:val="none"/>
        </w:rPr>
      </w:pPr>
      <w:r>
        <w:rPr>
          <w:rFonts w:hint="eastAsia" w:ascii="仿宋_GB2312" w:eastAsia="仿宋_GB2312" w:cs="ArialUnicodeMS"/>
          <w:kern w:val="0"/>
          <w:sz w:val="32"/>
          <w:szCs w:val="32"/>
          <w:highlight w:val="none"/>
          <w:lang w:val="en-US" w:eastAsia="zh-CN"/>
        </w:rPr>
        <w:t>1.</w:t>
      </w:r>
      <w:r>
        <w:rPr>
          <w:rFonts w:hint="eastAsia" w:ascii="仿宋_GB2312" w:hAnsi="Calibri" w:eastAsia="仿宋_GB2312" w:cs="ArialUnicodeMS"/>
          <w:kern w:val="0"/>
          <w:sz w:val="32"/>
          <w:szCs w:val="32"/>
          <w:highlight w:val="none"/>
        </w:rPr>
        <w:t>宣传、贯彻、落实房屋征收条例、办法。</w:t>
      </w:r>
    </w:p>
    <w:p w14:paraId="4AE000AC">
      <w:pPr>
        <w:keepNext w:val="0"/>
        <w:keepLines w:val="0"/>
        <w:pageBreakBefore w:val="0"/>
        <w:widowControl w:val="0"/>
        <w:kinsoku/>
        <w:wordWrap/>
        <w:overflowPunct/>
        <w:topLinePunct w:val="0"/>
        <w:autoSpaceDE w:val="0"/>
        <w:autoSpaceDN w:val="0"/>
        <w:bidi w:val="0"/>
        <w:adjustRightInd w:val="0"/>
        <w:snapToGrid/>
        <w:spacing w:after="0" w:line="560" w:lineRule="exact"/>
        <w:ind w:firstLine="640" w:firstLineChars="200"/>
        <w:jc w:val="left"/>
        <w:textAlignment w:val="auto"/>
        <w:outlineLvl w:val="9"/>
        <w:rPr>
          <w:rFonts w:hint="eastAsia" w:ascii="仿宋_GB2312" w:hAnsi="Calibri" w:eastAsia="仿宋_GB2312" w:cs="ArialUnicodeMS"/>
          <w:kern w:val="0"/>
          <w:sz w:val="32"/>
          <w:szCs w:val="32"/>
          <w:highlight w:val="none"/>
        </w:rPr>
      </w:pPr>
      <w:r>
        <w:rPr>
          <w:rFonts w:hint="eastAsia" w:ascii="仿宋_GB2312" w:eastAsia="仿宋_GB2312" w:cs="ArialUnicodeMS"/>
          <w:kern w:val="0"/>
          <w:sz w:val="32"/>
          <w:szCs w:val="32"/>
          <w:highlight w:val="none"/>
          <w:lang w:val="en-US" w:eastAsia="zh-CN"/>
        </w:rPr>
        <w:t>2.</w:t>
      </w:r>
      <w:r>
        <w:rPr>
          <w:rFonts w:hint="eastAsia" w:ascii="仿宋_GB2312" w:hAnsi="Calibri" w:eastAsia="仿宋_GB2312" w:cs="ArialUnicodeMS"/>
          <w:kern w:val="0"/>
          <w:sz w:val="32"/>
          <w:szCs w:val="32"/>
          <w:highlight w:val="none"/>
        </w:rPr>
        <w:t>拟定区年度房屋征收计划，拟定房屋征收范围报区政府批准并公布，对征收范围内房屋实施调查登记。</w:t>
      </w:r>
    </w:p>
    <w:p w14:paraId="0ABFC6DE">
      <w:pPr>
        <w:keepNext w:val="0"/>
        <w:keepLines w:val="0"/>
        <w:pageBreakBefore w:val="0"/>
        <w:widowControl w:val="0"/>
        <w:kinsoku/>
        <w:wordWrap/>
        <w:overflowPunct/>
        <w:topLinePunct w:val="0"/>
        <w:autoSpaceDE w:val="0"/>
        <w:autoSpaceDN w:val="0"/>
        <w:bidi w:val="0"/>
        <w:adjustRightInd w:val="0"/>
        <w:snapToGrid/>
        <w:spacing w:after="0" w:line="560" w:lineRule="exact"/>
        <w:ind w:firstLine="640" w:firstLineChars="200"/>
        <w:jc w:val="left"/>
        <w:textAlignment w:val="auto"/>
        <w:outlineLvl w:val="9"/>
        <w:rPr>
          <w:rFonts w:hint="eastAsia" w:ascii="仿宋_GB2312" w:hAnsi="Calibri" w:eastAsia="仿宋_GB2312" w:cs="ArialUnicodeMS"/>
          <w:kern w:val="0"/>
          <w:sz w:val="32"/>
          <w:szCs w:val="32"/>
          <w:highlight w:val="none"/>
        </w:rPr>
      </w:pPr>
      <w:r>
        <w:rPr>
          <w:rFonts w:hint="eastAsia" w:ascii="仿宋_GB2312" w:eastAsia="仿宋_GB2312" w:cs="ArialUnicodeMS"/>
          <w:kern w:val="0"/>
          <w:sz w:val="32"/>
          <w:szCs w:val="32"/>
          <w:highlight w:val="none"/>
          <w:lang w:val="en-US" w:eastAsia="zh-CN"/>
        </w:rPr>
        <w:t>3.</w:t>
      </w:r>
      <w:r>
        <w:rPr>
          <w:rFonts w:hint="eastAsia" w:ascii="仿宋_GB2312" w:hAnsi="Calibri" w:eastAsia="仿宋_GB2312" w:cs="ArialUnicodeMS"/>
          <w:kern w:val="0"/>
          <w:sz w:val="32"/>
          <w:szCs w:val="32"/>
          <w:highlight w:val="none"/>
        </w:rPr>
        <w:t>组织编制旧城区改建项目用于产权调换的住宅房屋建设地块修建性详细规划或建设工程的设计方案总平面图，报市城乡规划部门审定。</w:t>
      </w:r>
    </w:p>
    <w:p w14:paraId="2EE5DC4D">
      <w:pPr>
        <w:keepNext w:val="0"/>
        <w:keepLines w:val="0"/>
        <w:pageBreakBefore w:val="0"/>
        <w:widowControl w:val="0"/>
        <w:kinsoku/>
        <w:wordWrap/>
        <w:overflowPunct/>
        <w:topLinePunct w:val="0"/>
        <w:autoSpaceDE w:val="0"/>
        <w:autoSpaceDN w:val="0"/>
        <w:bidi w:val="0"/>
        <w:adjustRightInd w:val="0"/>
        <w:snapToGrid/>
        <w:spacing w:after="0" w:line="560" w:lineRule="exact"/>
        <w:ind w:firstLine="640" w:firstLineChars="200"/>
        <w:jc w:val="left"/>
        <w:textAlignment w:val="auto"/>
        <w:outlineLvl w:val="9"/>
        <w:rPr>
          <w:rFonts w:hint="eastAsia" w:ascii="仿宋_GB2312" w:hAnsi="Calibri" w:eastAsia="仿宋_GB2312" w:cs="ArialUnicodeMS"/>
          <w:kern w:val="0"/>
          <w:sz w:val="32"/>
          <w:szCs w:val="32"/>
          <w:highlight w:val="none"/>
        </w:rPr>
      </w:pPr>
      <w:r>
        <w:rPr>
          <w:rFonts w:hint="eastAsia" w:ascii="仿宋_GB2312" w:eastAsia="仿宋_GB2312" w:cs="ArialUnicodeMS"/>
          <w:kern w:val="0"/>
          <w:sz w:val="32"/>
          <w:szCs w:val="32"/>
          <w:highlight w:val="none"/>
          <w:lang w:val="en-US" w:eastAsia="zh-CN"/>
        </w:rPr>
        <w:t>4.</w:t>
      </w:r>
      <w:r>
        <w:rPr>
          <w:rFonts w:hint="eastAsia" w:ascii="仿宋_GB2312" w:hAnsi="Calibri" w:eastAsia="仿宋_GB2312" w:cs="ArialUnicodeMS"/>
          <w:kern w:val="0"/>
          <w:sz w:val="32"/>
          <w:szCs w:val="32"/>
          <w:highlight w:val="none"/>
        </w:rPr>
        <w:t>拟定房屋征收补偿方案报区政府和市房屋征收部门。</w:t>
      </w:r>
    </w:p>
    <w:p w14:paraId="06C18A3C">
      <w:pPr>
        <w:keepNext w:val="0"/>
        <w:keepLines w:val="0"/>
        <w:pageBreakBefore w:val="0"/>
        <w:widowControl w:val="0"/>
        <w:kinsoku/>
        <w:wordWrap/>
        <w:overflowPunct/>
        <w:topLinePunct w:val="0"/>
        <w:autoSpaceDE w:val="0"/>
        <w:autoSpaceDN w:val="0"/>
        <w:bidi w:val="0"/>
        <w:adjustRightInd w:val="0"/>
        <w:snapToGrid/>
        <w:spacing w:after="0" w:line="560" w:lineRule="exact"/>
        <w:ind w:firstLine="640" w:firstLineChars="200"/>
        <w:jc w:val="left"/>
        <w:textAlignment w:val="auto"/>
        <w:outlineLvl w:val="9"/>
        <w:rPr>
          <w:rFonts w:hint="eastAsia" w:ascii="仿宋_GB2312" w:hAnsi="Calibri" w:eastAsia="仿宋_GB2312" w:cs="ArialUnicodeMS"/>
          <w:kern w:val="0"/>
          <w:sz w:val="32"/>
          <w:szCs w:val="32"/>
          <w:highlight w:val="none"/>
        </w:rPr>
      </w:pPr>
      <w:r>
        <w:rPr>
          <w:rFonts w:hint="eastAsia" w:ascii="仿宋_GB2312" w:eastAsia="仿宋_GB2312" w:cs="ArialUnicodeMS"/>
          <w:kern w:val="0"/>
          <w:sz w:val="32"/>
          <w:szCs w:val="32"/>
          <w:highlight w:val="none"/>
          <w:lang w:val="en-US" w:eastAsia="zh-CN"/>
        </w:rPr>
        <w:t>5.</w:t>
      </w:r>
      <w:r>
        <w:rPr>
          <w:rFonts w:hint="eastAsia" w:ascii="仿宋_GB2312" w:hAnsi="Calibri" w:eastAsia="仿宋_GB2312" w:cs="ArialUnicodeMS"/>
          <w:kern w:val="0"/>
          <w:sz w:val="32"/>
          <w:szCs w:val="32"/>
          <w:highlight w:val="none"/>
        </w:rPr>
        <w:t>拟定房屋征收决定报区政府批准并公布，依法组织实施房屋征收与补偿工作。</w:t>
      </w:r>
    </w:p>
    <w:p w14:paraId="511520A2">
      <w:pPr>
        <w:keepNext w:val="0"/>
        <w:keepLines w:val="0"/>
        <w:pageBreakBefore w:val="0"/>
        <w:widowControl w:val="0"/>
        <w:kinsoku/>
        <w:wordWrap/>
        <w:overflowPunct/>
        <w:topLinePunct w:val="0"/>
        <w:autoSpaceDE w:val="0"/>
        <w:autoSpaceDN w:val="0"/>
        <w:bidi w:val="0"/>
        <w:adjustRightInd w:val="0"/>
        <w:snapToGrid/>
        <w:spacing w:after="0" w:line="560" w:lineRule="exact"/>
        <w:ind w:firstLine="640" w:firstLineChars="200"/>
        <w:jc w:val="left"/>
        <w:textAlignment w:val="auto"/>
        <w:outlineLvl w:val="9"/>
        <w:rPr>
          <w:rFonts w:hint="eastAsia" w:ascii="仿宋_GB2312" w:hAnsi="Calibri" w:eastAsia="仿宋_GB2312" w:cs="ArialUnicodeMS"/>
          <w:kern w:val="0"/>
          <w:sz w:val="32"/>
          <w:szCs w:val="32"/>
          <w:highlight w:val="none"/>
        </w:rPr>
      </w:pPr>
      <w:r>
        <w:rPr>
          <w:rFonts w:hint="eastAsia" w:ascii="仿宋_GB2312" w:eastAsia="仿宋_GB2312" w:cs="ArialUnicodeMS"/>
          <w:kern w:val="0"/>
          <w:sz w:val="32"/>
          <w:szCs w:val="32"/>
          <w:highlight w:val="none"/>
          <w:lang w:val="en-US" w:eastAsia="zh-CN"/>
        </w:rPr>
        <w:t>6.</w:t>
      </w:r>
      <w:r>
        <w:rPr>
          <w:rFonts w:hint="eastAsia" w:ascii="仿宋_GB2312" w:hAnsi="Calibri" w:eastAsia="仿宋_GB2312" w:cs="ArialUnicodeMS"/>
          <w:kern w:val="0"/>
          <w:sz w:val="32"/>
          <w:szCs w:val="32"/>
          <w:highlight w:val="none"/>
        </w:rPr>
        <w:t>建立房屋征收补偿专项档案。</w:t>
      </w:r>
    </w:p>
    <w:p w14:paraId="3FB8670F">
      <w:pPr>
        <w:keepNext/>
        <w:keepLines/>
        <w:spacing w:line="580" w:lineRule="exact"/>
        <w:ind w:firstLine="640" w:firstLineChars="200"/>
        <w:jc w:val="left"/>
        <w:outlineLvl w:val="0"/>
        <w:rPr>
          <w:rFonts w:hint="eastAsia" w:ascii="仿宋_GB2312" w:hAnsi="Calibri" w:eastAsia="仿宋_GB2312" w:cs="ArialUnicodeMS"/>
          <w:kern w:val="0"/>
          <w:sz w:val="32"/>
          <w:szCs w:val="32"/>
          <w:highlight w:val="none"/>
          <w:lang w:eastAsia="zh-CN"/>
        </w:rPr>
      </w:pPr>
      <w:r>
        <w:rPr>
          <w:rFonts w:hint="eastAsia" w:ascii="仿宋_GB2312" w:eastAsia="仿宋_GB2312" w:cs="ArialUnicodeMS"/>
          <w:kern w:val="0"/>
          <w:sz w:val="32"/>
          <w:szCs w:val="32"/>
          <w:highlight w:val="none"/>
          <w:lang w:val="en-US" w:eastAsia="zh-CN"/>
        </w:rPr>
        <w:t>7.</w:t>
      </w:r>
      <w:r>
        <w:rPr>
          <w:rFonts w:hint="eastAsia" w:ascii="仿宋_GB2312" w:hAnsi="Calibri" w:eastAsia="仿宋_GB2312" w:cs="ArialUnicodeMS"/>
          <w:kern w:val="0"/>
          <w:sz w:val="32"/>
          <w:szCs w:val="32"/>
          <w:highlight w:val="none"/>
        </w:rPr>
        <w:t>监督街镇、村按照城中村改造政策开展拆迁工作。对拆迁安置方案进行初审，监督各村拆迁情况，审核相关程序</w:t>
      </w:r>
      <w:r>
        <w:rPr>
          <w:rFonts w:hint="eastAsia" w:ascii="仿宋_GB2312" w:hAnsi="Calibri" w:eastAsia="仿宋_GB2312" w:cs="ArialUnicodeMS"/>
          <w:kern w:val="0"/>
          <w:sz w:val="32"/>
          <w:szCs w:val="32"/>
          <w:highlight w:val="none"/>
          <w:lang w:eastAsia="zh-CN"/>
        </w:rPr>
        <w:t>。</w:t>
      </w:r>
    </w:p>
    <w:p w14:paraId="67E16566">
      <w:pPr>
        <w:keepNext/>
        <w:keepLines/>
        <w:spacing w:line="580" w:lineRule="exact"/>
        <w:ind w:firstLine="640" w:firstLineChars="200"/>
        <w:jc w:val="left"/>
        <w:outlineLvl w:val="0"/>
        <w:rPr>
          <w:rFonts w:ascii="黑体" w:hAnsi="Calibri" w:eastAsia="黑体" w:cs="黑体"/>
          <w:kern w:val="0"/>
          <w:sz w:val="32"/>
          <w:szCs w:val="32"/>
        </w:rPr>
      </w:pPr>
      <w:r>
        <w:rPr>
          <w:rFonts w:hint="eastAsia" w:ascii="仿宋_GB2312" w:hAnsi="Calibri" w:eastAsia="仿宋_GB2312" w:cs="ArialUnicodeMS"/>
          <w:b w:val="0"/>
          <w:bCs w:val="0"/>
          <w:kern w:val="0"/>
          <w:sz w:val="32"/>
          <w:szCs w:val="32"/>
          <w:highlight w:val="none"/>
          <w:lang w:val="en-US" w:eastAsia="zh-CN" w:bidi="ar-SA"/>
        </w:rPr>
        <w:t>二、机构设置</w:t>
      </w:r>
    </w:p>
    <w:tbl>
      <w:tblPr>
        <w:tblStyle w:val="9"/>
        <w:tblpPr w:leftFromText="180" w:rightFromText="180" w:vertAnchor="text" w:horzAnchor="page" w:tblpXSpec="center" w:tblpY="10"/>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1EFD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noWrap w:val="0"/>
            <w:vAlign w:val="center"/>
          </w:tcPr>
          <w:p w14:paraId="5AF3F2DF">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noWrap w:val="0"/>
            <w:vAlign w:val="center"/>
          </w:tcPr>
          <w:p w14:paraId="02150543">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noWrap w:val="0"/>
            <w:vAlign w:val="center"/>
          </w:tcPr>
          <w:p w14:paraId="6B2903FC">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noWrap w:val="0"/>
            <w:vAlign w:val="center"/>
          </w:tcPr>
          <w:p w14:paraId="12E63949">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14:paraId="2D08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noWrap w:val="0"/>
            <w:vAlign w:val="top"/>
          </w:tcPr>
          <w:p w14:paraId="2C3B9F7E">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1</w:t>
            </w:r>
          </w:p>
        </w:tc>
        <w:tc>
          <w:tcPr>
            <w:tcW w:w="3485" w:type="dxa"/>
            <w:noWrap w:val="0"/>
            <w:vAlign w:val="top"/>
          </w:tcPr>
          <w:p w14:paraId="6EB2673E">
            <w:pPr>
              <w:spacing w:line="560" w:lineRule="exact"/>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eastAsia="zh-CN"/>
              </w:rPr>
              <w:t>石家庄市长安区房屋征收</w:t>
            </w:r>
            <w:r>
              <w:rPr>
                <w:rFonts w:hint="eastAsia" w:ascii="仿宋_GB2312" w:eastAsia="仿宋_GB2312" w:cs="ArialUnicodeMS"/>
                <w:kern w:val="0"/>
                <w:sz w:val="28"/>
                <w:szCs w:val="28"/>
                <w:lang w:eastAsia="zh-CN"/>
              </w:rPr>
              <w:t>中心</w:t>
            </w:r>
            <w:r>
              <w:rPr>
                <w:rFonts w:hint="eastAsia" w:ascii="仿宋_GB2312" w:hAnsi="Calibri" w:eastAsia="仿宋_GB2312" w:cs="ArialUnicodeMS"/>
                <w:kern w:val="0"/>
                <w:sz w:val="28"/>
                <w:szCs w:val="28"/>
              </w:rPr>
              <w:t>(本级)</w:t>
            </w:r>
          </w:p>
        </w:tc>
        <w:tc>
          <w:tcPr>
            <w:tcW w:w="2445" w:type="dxa"/>
            <w:noWrap w:val="0"/>
            <w:vAlign w:val="top"/>
          </w:tcPr>
          <w:p w14:paraId="3BEFB720">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eastAsia="zh-CN"/>
              </w:rPr>
              <w:t>财政补助事业单位</w:t>
            </w:r>
          </w:p>
        </w:tc>
        <w:tc>
          <w:tcPr>
            <w:tcW w:w="2665" w:type="dxa"/>
            <w:noWrap w:val="0"/>
            <w:vAlign w:val="top"/>
          </w:tcPr>
          <w:p w14:paraId="59F8A839">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eastAsia="zh-CN"/>
              </w:rPr>
              <w:t>财政拨款</w:t>
            </w:r>
          </w:p>
        </w:tc>
      </w:tr>
    </w:tbl>
    <w:p w14:paraId="26574687">
      <w:pPr>
        <w:numPr>
          <w:ilvl w:val="0"/>
          <w:numId w:val="1"/>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27717D9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eastAsia="宋体"/>
          <w:lang w:eastAsia="zh-CN"/>
        </w:rPr>
      </w:pPr>
      <w:r>
        <w:rPr>
          <w:rFonts w:hint="eastAsia" w:ascii="仿宋_GB2312" w:hAnsi="Times New Roman" w:eastAsia="仿宋_GB2312" w:cs="DengXian-Regular"/>
          <w:sz w:val="32"/>
          <w:szCs w:val="32"/>
        </w:rPr>
        <w:t>本部门202</w:t>
      </w:r>
      <w:r>
        <w:rPr>
          <w:rFonts w:hint="default" w:ascii="仿宋_GB2312" w:hAnsi="Times New Roman" w:eastAsia="仿宋_GB2312" w:cs="DengXian-Regular"/>
          <w:sz w:val="32"/>
          <w:szCs w:val="32"/>
          <w:lang w:val="en-US"/>
        </w:rPr>
        <w:t>5</w:t>
      </w:r>
      <w:r>
        <w:rPr>
          <w:rFonts w:hint="eastAsia" w:ascii="仿宋_GB2312" w:hAnsi="Times New Roman" w:eastAsia="仿宋_GB2312" w:cs="DengXian-Regular"/>
          <w:sz w:val="32"/>
          <w:szCs w:val="32"/>
        </w:rPr>
        <w:t>年度收入合计</w:t>
      </w:r>
      <w:r>
        <w:rPr>
          <w:rFonts w:hint="eastAsia" w:ascii="仿宋_GB2312" w:hAnsi="仿宋" w:eastAsia="仿宋_GB2312"/>
          <w:sz w:val="32"/>
          <w:szCs w:val="32"/>
          <w:lang w:val="en-US" w:eastAsia="zh-CN"/>
        </w:rPr>
        <w:t>147224</w:t>
      </w:r>
      <w:r>
        <w:rPr>
          <w:rFonts w:hint="eastAsia" w:ascii="仿宋_GB2312" w:hAnsi="Times New Roman" w:eastAsia="仿宋_GB2312" w:cs="DengXian-Regular"/>
          <w:sz w:val="32"/>
          <w:szCs w:val="32"/>
        </w:rPr>
        <w:t>万元，其中：财政拨款收入</w:t>
      </w:r>
      <w:r>
        <w:rPr>
          <w:rFonts w:hint="eastAsia" w:ascii="仿宋_GB2312" w:hAnsi="仿宋" w:eastAsia="仿宋_GB2312"/>
          <w:sz w:val="32"/>
          <w:szCs w:val="32"/>
          <w:lang w:val="en-US" w:eastAsia="zh-CN"/>
        </w:rPr>
        <w:t>147224</w:t>
      </w:r>
      <w:r>
        <w:rPr>
          <w:rFonts w:hint="eastAsia" w:ascii="仿宋_GB2312" w:hAnsi="Times New Roman" w:eastAsia="仿宋_GB2312" w:cs="DengXian-Regular"/>
          <w:sz w:val="32"/>
          <w:szCs w:val="32"/>
        </w:rPr>
        <w:t>万元</w:t>
      </w:r>
      <w:r>
        <w:rPr>
          <w:rFonts w:hint="eastAsia" w:ascii="仿宋_GB2312" w:hAnsi="Times New Roman" w:eastAsia="仿宋_GB2312" w:cs="DengXian-Regular"/>
          <w:sz w:val="32"/>
          <w:szCs w:val="32"/>
          <w:lang w:eastAsia="zh-CN"/>
        </w:rPr>
        <w:t>。</w:t>
      </w:r>
    </w:p>
    <w:p w14:paraId="308985CE">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13E0D23A">
      <w:pPr>
        <w:autoSpaceDE w:val="0"/>
        <w:autoSpaceDN w:val="0"/>
        <w:adjustRightInd w:val="0"/>
        <w:ind w:left="198" w:firstLine="640" w:firstLineChars="200"/>
        <w:jc w:val="left"/>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房屋征收项目符合法定条件</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房屋征收补偿方案进行科学论证、按规定公示、走访征求意见</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 xml:space="preserve"> </w:t>
      </w:r>
    </w:p>
    <w:p w14:paraId="1021470C">
      <w:pPr>
        <w:autoSpaceDE w:val="0"/>
        <w:autoSpaceDN w:val="0"/>
        <w:adjustRightInd w:val="0"/>
        <w:ind w:left="198" w:firstLine="640" w:firstLineChars="200"/>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rPr>
        <w:t>严格落实社会稳定风险评估，并根据社会稳定风险评估情况，制定相应解决矛盾的方案、途径和突发性事件的防范、应急和处置预案</w:t>
      </w:r>
      <w:r>
        <w:rPr>
          <w:rFonts w:hint="eastAsia" w:ascii="Times New Roman" w:hAnsi="Times New Roman" w:eastAsia="仿宋" w:cs="Times New Roman"/>
          <w:sz w:val="32"/>
          <w:szCs w:val="32"/>
          <w:lang w:eastAsia="zh-CN"/>
        </w:rPr>
        <w:t>。</w:t>
      </w:r>
    </w:p>
    <w:p w14:paraId="0B81F2E0">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3.</w:t>
      </w:r>
      <w:r>
        <w:rPr>
          <w:rFonts w:hint="eastAsia" w:ascii="Times New Roman" w:hAnsi="Times New Roman" w:eastAsia="仿宋" w:cs="Times New Roman"/>
          <w:sz w:val="32"/>
          <w:szCs w:val="32"/>
        </w:rPr>
        <w:t>房屋征收补偿资金监管到位</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房屋征收决定程序合法</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作出的征收补偿决定合法、公平、符合补偿方案</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依法进行公告。</w:t>
      </w:r>
    </w:p>
    <w:p w14:paraId="190B2C1D">
      <w:pPr>
        <w:autoSpaceDE w:val="0"/>
        <w:autoSpaceDN w:val="0"/>
        <w:adjustRightInd w:val="0"/>
        <w:ind w:left="198" w:firstLine="640" w:firstLineChars="200"/>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val="en-US" w:eastAsia="zh-CN"/>
        </w:rPr>
        <w:t>4.</w:t>
      </w:r>
      <w:r>
        <w:rPr>
          <w:rFonts w:hint="eastAsia" w:ascii="Times New Roman" w:hAnsi="Times New Roman" w:eastAsia="仿宋" w:cs="Times New Roman"/>
          <w:sz w:val="32"/>
          <w:szCs w:val="32"/>
        </w:rPr>
        <w:t>征收项目评估信息公开发布，充分保障被征收人的选择权，确保征收评估机构选择公平、公正、公开，按规定选取，严格按照先补偿后征收的要求，及时发放补偿费、临时安置费</w:t>
      </w:r>
      <w:r>
        <w:rPr>
          <w:rFonts w:hint="eastAsia" w:ascii="Times New Roman" w:hAnsi="Times New Roman" w:eastAsia="仿宋" w:cs="Times New Roman"/>
          <w:sz w:val="32"/>
          <w:szCs w:val="32"/>
          <w:lang w:eastAsia="zh-CN"/>
        </w:rPr>
        <w:t>。</w:t>
      </w:r>
    </w:p>
    <w:p w14:paraId="684C1F8D">
      <w:pPr>
        <w:autoSpaceDE w:val="0"/>
        <w:autoSpaceDN w:val="0"/>
        <w:adjustRightInd w:val="0"/>
        <w:ind w:left="198" w:firstLine="640" w:firstLineChars="200"/>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val="en-US" w:eastAsia="zh-CN"/>
        </w:rPr>
        <w:t>5.</w:t>
      </w:r>
      <w:r>
        <w:rPr>
          <w:rFonts w:hint="eastAsia" w:ascii="Times New Roman" w:hAnsi="Times New Roman" w:eastAsia="仿宋" w:cs="Times New Roman"/>
          <w:sz w:val="32"/>
          <w:szCs w:val="32"/>
        </w:rPr>
        <w:t>房屋拆除工作管理制度健全，房屋拆除工作安全、环保，无事故</w:t>
      </w:r>
      <w:r>
        <w:rPr>
          <w:rFonts w:hint="eastAsia" w:ascii="Times New Roman" w:hAnsi="Times New Roman" w:eastAsia="仿宋" w:cs="Times New Roman"/>
          <w:sz w:val="32"/>
          <w:szCs w:val="32"/>
          <w:lang w:eastAsia="zh-CN"/>
        </w:rPr>
        <w:t>。</w:t>
      </w:r>
    </w:p>
    <w:p w14:paraId="36065A57">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6.</w:t>
      </w:r>
      <w:r>
        <w:rPr>
          <w:rFonts w:hint="eastAsia" w:ascii="Times New Roman" w:hAnsi="Times New Roman" w:eastAsia="仿宋" w:cs="Times New Roman"/>
          <w:sz w:val="32"/>
          <w:szCs w:val="32"/>
        </w:rPr>
        <w:t>建立健全统计信息制度</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严格执行征收档案管理制度</w:t>
      </w:r>
      <w:r>
        <w:rPr>
          <w:rFonts w:hint="eastAsia" w:ascii="Times New Roman" w:hAnsi="Times New Roman" w:eastAsia="仿宋" w:cs="Times New Roman"/>
          <w:sz w:val="32"/>
          <w:szCs w:val="32"/>
          <w:lang w:eastAsia="zh-CN"/>
        </w:rPr>
        <w:t>。</w:t>
      </w:r>
    </w:p>
    <w:p w14:paraId="695CA097">
      <w:pPr>
        <w:keepNext w:val="0"/>
        <w:keepLines w:val="0"/>
        <w:pageBreakBefore w:val="0"/>
        <w:widowControl w:val="0"/>
        <w:kinsoku/>
        <w:wordWrap/>
        <w:overflowPunct/>
        <w:topLinePunct w:val="0"/>
        <w:bidi w:val="0"/>
        <w:adjustRightInd w:val="0"/>
        <w:snapToGrid w:val="0"/>
        <w:spacing w:line="560" w:lineRule="exact"/>
        <w:ind w:left="0" w:leftChars="0" w:right="0" w:firstLine="640" w:firstLineChars="200"/>
        <w:textAlignment w:val="auto"/>
        <w:outlineLvl w:val="9"/>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7.</w:t>
      </w:r>
      <w:r>
        <w:rPr>
          <w:rFonts w:hint="eastAsia" w:ascii="Times New Roman" w:hAnsi="Times New Roman" w:eastAsia="仿宋" w:cs="Times New Roman"/>
          <w:sz w:val="32"/>
          <w:szCs w:val="32"/>
        </w:rPr>
        <w:t>依据城中村改造政策规定审核开发企业资质，城中村改造安置方案。审核城中村改造回迁面积。监督各村依法开展拆迁工作。</w:t>
      </w:r>
    </w:p>
    <w:p w14:paraId="49B6CED4">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二、自评工作开展情况</w:t>
      </w:r>
    </w:p>
    <w:p w14:paraId="1D6A0CCE">
      <w:pPr>
        <w:pStyle w:val="3"/>
      </w:pPr>
    </w:p>
    <w:p w14:paraId="45B5778D">
      <w:pPr>
        <w:spacing w:line="560" w:lineRule="exact"/>
        <w:ind w:firstLine="642"/>
        <w:rPr>
          <w:rFonts w:hint="eastAsia" w:ascii="楷体" w:hAnsi="楷体" w:eastAsia="楷体" w:cs="楷体_GB2312"/>
          <w:bCs/>
          <w:sz w:val="32"/>
          <w:szCs w:val="32"/>
        </w:rPr>
      </w:pPr>
      <w:r>
        <w:rPr>
          <w:rFonts w:hint="eastAsia" w:ascii="楷体" w:hAnsi="楷体" w:eastAsia="楷体" w:cs="楷体_GB2312"/>
          <w:bCs/>
          <w:sz w:val="32"/>
          <w:szCs w:val="32"/>
        </w:rPr>
        <w:t>（一）自评的组织工作</w:t>
      </w:r>
    </w:p>
    <w:p w14:paraId="5D71ED75">
      <w:pPr>
        <w:pStyle w:val="3"/>
        <w:ind w:firstLine="642"/>
      </w:pPr>
    </w:p>
    <w:p w14:paraId="62DC76A5">
      <w:pPr>
        <w:snapToGrid w:val="0"/>
        <w:spacing w:line="360" w:lineRule="auto"/>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我单位接到财政专项资金绩效自评的通知后，单位党组立即安排，成立了办公室财务业务牵头的绩效自评工作小组，对我单位2025年度的专项资金使用进行了自评。</w:t>
      </w:r>
    </w:p>
    <w:p w14:paraId="3431E3F2">
      <w:pPr>
        <w:numPr>
          <w:ilvl w:val="0"/>
          <w:numId w:val="2"/>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569C3395">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 w:hAnsi="仿宋" w:eastAsia="仿宋" w:cs="仿宋"/>
          <w:sz w:val="32"/>
          <w:szCs w:val="32"/>
        </w:rPr>
        <w:t>绩效自评工作领导小组对专项资金请示及相关文件进行审阅，对资金申请依据、资金拨付流程进行了全面了解，对项目</w:t>
      </w:r>
      <w:r>
        <w:rPr>
          <w:rFonts w:hint="eastAsia" w:ascii="仿宋" w:hAnsi="仿宋" w:eastAsia="仿宋" w:cs="仿宋"/>
          <w:sz w:val="32"/>
          <w:szCs w:val="32"/>
          <w:lang w:val="en-US" w:eastAsia="zh-CN"/>
        </w:rPr>
        <w:t>资金</w:t>
      </w:r>
      <w:r>
        <w:rPr>
          <w:rFonts w:hint="eastAsia" w:ascii="仿宋" w:hAnsi="仿宋" w:eastAsia="仿宋" w:cs="仿宋"/>
          <w:sz w:val="32"/>
          <w:szCs w:val="32"/>
        </w:rPr>
        <w:t>使用情况及材料进行审阅。</w:t>
      </w:r>
    </w:p>
    <w:p w14:paraId="67B153C4">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0916C901">
      <w:pPr>
        <w:numPr>
          <w:ilvl w:val="0"/>
          <w:numId w:val="3"/>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7B49B566">
      <w:pPr>
        <w:spacing w:line="560" w:lineRule="exact"/>
        <w:ind w:firstLine="800" w:firstLineChars="250"/>
        <w:rPr>
          <w:rFonts w:ascii="仿宋" w:hAnsi="仿宋" w:eastAsia="仿宋"/>
          <w:sz w:val="32"/>
          <w:szCs w:val="32"/>
        </w:rPr>
      </w:pPr>
      <w:r>
        <w:rPr>
          <w:rFonts w:hint="eastAsia" w:ascii="仿宋" w:hAnsi="仿宋" w:eastAsia="仿宋"/>
          <w:sz w:val="32"/>
          <w:szCs w:val="32"/>
        </w:rPr>
        <w:t>参照预算绩效文本中总体绩效目标，说明整体绩效目标实现情况。</w:t>
      </w:r>
    </w:p>
    <w:p w14:paraId="3BD9F592">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5A3EEC12">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1、房屋征收管理</w:t>
      </w:r>
    </w:p>
    <w:p w14:paraId="5C415A92">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绩效目标：加强房屋征收项目监管，保证居民回迁入住。</w:t>
      </w:r>
    </w:p>
    <w:p w14:paraId="0D010705">
      <w:pPr>
        <w:autoSpaceDE w:val="0"/>
        <w:autoSpaceDN w:val="0"/>
        <w:adjustRightInd w:val="0"/>
        <w:ind w:left="198" w:firstLine="640" w:firstLineChars="200"/>
        <w:jc w:val="left"/>
        <w:rPr>
          <w:rFonts w:hint="eastAsia" w:ascii="方正书宋_GBK" w:eastAsia="方正书宋_GBK"/>
        </w:rPr>
      </w:pPr>
      <w:r>
        <w:rPr>
          <w:rFonts w:hint="eastAsia" w:ascii="Times New Roman" w:hAnsi="Times New Roman" w:eastAsia="仿宋" w:cs="Times New Roman"/>
          <w:sz w:val="32"/>
          <w:szCs w:val="32"/>
        </w:rPr>
        <w:t>绩效指标：宣传贯彻落实房屋征收条例、办法拟定区年度房屋征收计划，拟定房屋征收范围报区政府批准并公布，对征收范围内房屋实施调查登记。组织编制旧城改建项目用于产权调换的住宅房屋建设地块修建性规划，建设工程设计方案的总平面图，报市房屋征收部门。拟定房屋征收决定报区政府批准并公布，依法组织实施房屋征收与补偿工作，建立房屋征收补偿专项档案。</w:t>
      </w:r>
    </w:p>
    <w:p w14:paraId="52B138F4">
      <w:pPr>
        <w:autoSpaceDE w:val="0"/>
        <w:autoSpaceDN w:val="0"/>
        <w:adjustRightInd w:val="0"/>
        <w:ind w:left="198" w:firstLine="640" w:firstLineChars="200"/>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2、</w:t>
      </w:r>
      <w:r>
        <w:rPr>
          <w:rFonts w:hint="eastAsia" w:ascii="Times New Roman" w:hAnsi="Times New Roman" w:eastAsia="仿宋" w:cs="Times New Roman"/>
          <w:sz w:val="32"/>
          <w:szCs w:val="32"/>
          <w:lang w:val="en-US" w:eastAsia="zh-CN"/>
        </w:rPr>
        <w:t>组织调查登记</w:t>
      </w:r>
    </w:p>
    <w:p w14:paraId="485EDFD9">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绩效目标：依法开展调查工作，掌握居民详细情况</w:t>
      </w:r>
    </w:p>
    <w:p w14:paraId="166D27A0">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绩效指标：工作任务完成率</w:t>
      </w:r>
    </w:p>
    <w:p w14:paraId="0B99A66D">
      <w:pPr>
        <w:autoSpaceDE w:val="0"/>
        <w:autoSpaceDN w:val="0"/>
        <w:adjustRightInd w:val="0"/>
        <w:ind w:left="198" w:firstLine="640" w:firstLineChars="200"/>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3、</w:t>
      </w:r>
      <w:r>
        <w:rPr>
          <w:rFonts w:hint="eastAsia" w:ascii="Times New Roman" w:hAnsi="Times New Roman" w:eastAsia="仿宋" w:cs="Times New Roman"/>
          <w:sz w:val="32"/>
          <w:szCs w:val="32"/>
          <w:lang w:val="en-US" w:eastAsia="zh-CN"/>
        </w:rPr>
        <w:t>组织安置补偿</w:t>
      </w:r>
    </w:p>
    <w:p w14:paraId="52B4C90C">
      <w:pPr>
        <w:autoSpaceDE w:val="0"/>
        <w:autoSpaceDN w:val="0"/>
        <w:adjustRightInd w:val="0"/>
        <w:ind w:left="198" w:firstLine="640" w:firstLineChars="200"/>
        <w:jc w:val="left"/>
        <w:rPr>
          <w:rFonts w:hint="eastAsia" w:ascii="方正书宋_GBK" w:eastAsia="方正书宋_GBK"/>
        </w:rPr>
      </w:pPr>
      <w:r>
        <w:rPr>
          <w:rFonts w:hint="eastAsia" w:ascii="Times New Roman" w:hAnsi="Times New Roman" w:eastAsia="仿宋" w:cs="Times New Roman"/>
          <w:sz w:val="32"/>
          <w:szCs w:val="32"/>
        </w:rPr>
        <w:t>绩效目标：科学制定补偿方案，依法依规开展补偿安置工作，尽量缩短征收周期</w:t>
      </w:r>
    </w:p>
    <w:p w14:paraId="14EE9EB8">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绩效指标：工作任务完成率</w:t>
      </w:r>
    </w:p>
    <w:p w14:paraId="38C38DD7">
      <w:pPr>
        <w:autoSpaceDE w:val="0"/>
        <w:autoSpaceDN w:val="0"/>
        <w:adjustRightInd w:val="0"/>
        <w:ind w:left="198" w:firstLine="640" w:firstLineChars="200"/>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4、</w:t>
      </w:r>
      <w:r>
        <w:rPr>
          <w:rFonts w:hint="eastAsia" w:ascii="Times New Roman" w:hAnsi="Times New Roman" w:eastAsia="仿宋" w:cs="Times New Roman"/>
          <w:sz w:val="32"/>
          <w:szCs w:val="32"/>
          <w:lang w:val="en-US" w:eastAsia="zh-CN"/>
        </w:rPr>
        <w:t>征收档案管理</w:t>
      </w:r>
    </w:p>
    <w:p w14:paraId="532F6969">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绩效目标：征收档案归档完整，登记齐全。</w:t>
      </w:r>
    </w:p>
    <w:p w14:paraId="00E60CB8">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绩效指标：工作完成率、任务实现率</w:t>
      </w:r>
    </w:p>
    <w:p w14:paraId="72888B6A">
      <w:pPr>
        <w:autoSpaceDE w:val="0"/>
        <w:autoSpaceDN w:val="0"/>
        <w:adjustRightInd w:val="0"/>
        <w:ind w:left="198" w:firstLine="640" w:firstLineChars="200"/>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5、</w:t>
      </w:r>
      <w:r>
        <w:rPr>
          <w:rFonts w:hint="eastAsia" w:ascii="Times New Roman" w:hAnsi="Times New Roman" w:eastAsia="仿宋" w:cs="Times New Roman"/>
          <w:sz w:val="32"/>
          <w:szCs w:val="32"/>
          <w:lang w:val="en-US" w:eastAsia="zh-CN"/>
        </w:rPr>
        <w:t>城中村改造管理</w:t>
      </w:r>
    </w:p>
    <w:p w14:paraId="2F16FB3C">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绩效目标：监督街镇、村按照城中村改造政策开展拆迁工作。对拆迁安置方案进行初审，监督各村拆迁情况，审核相关程序。</w:t>
      </w:r>
    </w:p>
    <w:p w14:paraId="01D788F9">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绩效指标：旧村改造完成率</w:t>
      </w:r>
    </w:p>
    <w:p w14:paraId="5423E510">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6、审核城中村改造手续</w:t>
      </w:r>
    </w:p>
    <w:p w14:paraId="6CDD8901">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绩效目标：依法依规进行初审，稳步推进城中村改造工作。</w:t>
      </w:r>
    </w:p>
    <w:p w14:paraId="5B65C7D3">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绩效指标：旧村改造完成率</w:t>
      </w:r>
    </w:p>
    <w:p w14:paraId="7347D61D">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7</w:t>
      </w:r>
      <w:r>
        <w:rPr>
          <w:rFonts w:hint="eastAsia" w:ascii="Times New Roman" w:hAnsi="Times New Roman" w:eastAsia="仿宋" w:cs="Times New Roman"/>
          <w:sz w:val="32"/>
          <w:szCs w:val="32"/>
        </w:rPr>
        <w:t>、日常政务工作</w:t>
      </w:r>
    </w:p>
    <w:p w14:paraId="6964DAF1">
      <w:pPr>
        <w:autoSpaceDE w:val="0"/>
        <w:autoSpaceDN w:val="0"/>
        <w:adjustRightInd w:val="0"/>
        <w:ind w:left="198"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绩效目标：保障正常工作高效运转。</w:t>
      </w:r>
    </w:p>
    <w:p w14:paraId="602FFE86">
      <w:pPr>
        <w:autoSpaceDE w:val="0"/>
        <w:autoSpaceDN w:val="0"/>
        <w:adjustRightInd w:val="0"/>
        <w:ind w:left="198" w:firstLine="640" w:firstLineChars="200"/>
        <w:jc w:val="left"/>
        <w:rPr>
          <w:rFonts w:ascii="仿宋" w:hAnsi="仿宋" w:eastAsia="仿宋"/>
          <w:sz w:val="32"/>
          <w:szCs w:val="32"/>
        </w:rPr>
      </w:pPr>
      <w:r>
        <w:rPr>
          <w:rFonts w:hint="eastAsia" w:ascii="Times New Roman" w:hAnsi="Times New Roman" w:eastAsia="仿宋" w:cs="Times New Roman"/>
          <w:sz w:val="32"/>
          <w:szCs w:val="32"/>
        </w:rPr>
        <w:t>绩效指标：工作落实程度</w:t>
      </w:r>
    </w:p>
    <w:p w14:paraId="2EDB3BED">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6AE6E706">
      <w:pPr>
        <w:widowControl w:val="0"/>
        <w:wordWrap/>
        <w:spacing w:line="560" w:lineRule="exact"/>
        <w:ind w:left="0" w:leftChars="0" w:right="0" w:firstLine="640" w:firstLineChars="200"/>
        <w:textAlignment w:val="auto"/>
        <w:outlineLvl w:val="9"/>
        <w:rPr>
          <w:rFonts w:ascii="仿宋" w:hAnsi="仿宋" w:eastAsia="仿宋"/>
          <w:sz w:val="32"/>
          <w:szCs w:val="32"/>
        </w:rPr>
      </w:pPr>
      <w:r>
        <w:rPr>
          <w:rFonts w:hint="eastAsia" w:ascii="仿宋" w:hAnsi="仿宋" w:eastAsia="仿宋"/>
          <w:sz w:val="32"/>
          <w:szCs w:val="32"/>
        </w:rPr>
        <w:t>根据</w:t>
      </w:r>
      <w:r>
        <w:rPr>
          <w:rFonts w:hint="eastAsia" w:ascii="仿宋" w:hAnsi="仿宋" w:eastAsia="仿宋"/>
          <w:sz w:val="32"/>
          <w:szCs w:val="32"/>
          <w:lang w:eastAsia="zh-CN"/>
        </w:rPr>
        <w:t>部门职责定位和各项工作履职情况进行综合评价</w:t>
      </w:r>
      <w:r>
        <w:rPr>
          <w:rFonts w:hint="eastAsia" w:ascii="仿宋" w:hAnsi="仿宋" w:eastAsia="仿宋"/>
          <w:sz w:val="32"/>
          <w:szCs w:val="32"/>
        </w:rPr>
        <w:t>，得出综合绩效评价等级</w:t>
      </w:r>
      <w:r>
        <w:rPr>
          <w:rFonts w:hint="eastAsia" w:ascii="仿宋" w:hAnsi="仿宋" w:eastAsia="仿宋"/>
          <w:sz w:val="32"/>
          <w:szCs w:val="32"/>
          <w:lang w:eastAsia="zh-CN"/>
        </w:rPr>
        <w:t>为优秀。</w:t>
      </w:r>
    </w:p>
    <w:p w14:paraId="6C3877B0">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6472E9C9">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bookmarkStart w:id="0" w:name="_GoBack"/>
      <w:bookmarkEnd w:id="0"/>
    </w:p>
    <w:p w14:paraId="6CF19A35">
      <w:pPr>
        <w:pStyle w:val="3"/>
        <w:ind w:firstLine="640" w:firstLineChars="200"/>
      </w:pPr>
      <w:r>
        <w:rPr>
          <w:rFonts w:hint="eastAsia" w:ascii="仿宋" w:hAnsi="仿宋" w:eastAsia="仿宋" w:cs="仿宋"/>
          <w:i w:val="0"/>
          <w:caps w:val="0"/>
          <w:color w:val="000000"/>
          <w:spacing w:val="0"/>
          <w:sz w:val="32"/>
          <w:szCs w:val="32"/>
          <w:highlight w:val="none"/>
          <w:shd w:val="clear" w:color="auto" w:fill="FFFFFF"/>
          <w:lang w:val="en-US" w:eastAsia="zh-CN"/>
        </w:rPr>
        <w:t>一、</w:t>
      </w:r>
      <w:r>
        <w:rPr>
          <w:rFonts w:hint="eastAsia" w:ascii="仿宋" w:hAnsi="仿宋" w:eastAsia="仿宋" w:cs="仿宋"/>
          <w:i w:val="0"/>
          <w:caps w:val="0"/>
          <w:color w:val="000000"/>
          <w:spacing w:val="0"/>
          <w:sz w:val="32"/>
          <w:szCs w:val="32"/>
          <w:highlight w:val="none"/>
          <w:shd w:val="clear" w:color="auto" w:fill="FFFFFF"/>
        </w:rPr>
        <w:t>评价指标体系</w:t>
      </w:r>
      <w:r>
        <w:rPr>
          <w:rFonts w:hint="eastAsia" w:ascii="仿宋" w:hAnsi="仿宋" w:eastAsia="仿宋" w:cs="仿宋"/>
          <w:i w:val="0"/>
          <w:caps w:val="0"/>
          <w:color w:val="000000"/>
          <w:spacing w:val="0"/>
          <w:sz w:val="32"/>
          <w:szCs w:val="32"/>
          <w:highlight w:val="none"/>
          <w:shd w:val="clear" w:color="auto" w:fill="FFFFFF"/>
          <w:lang w:val="en-US" w:eastAsia="zh-CN"/>
        </w:rPr>
        <w:t>不够</w:t>
      </w:r>
      <w:r>
        <w:rPr>
          <w:rFonts w:hint="eastAsia" w:ascii="仿宋" w:hAnsi="仿宋" w:eastAsia="仿宋" w:cs="仿宋"/>
          <w:i w:val="0"/>
          <w:caps w:val="0"/>
          <w:color w:val="000000"/>
          <w:spacing w:val="0"/>
          <w:sz w:val="32"/>
          <w:szCs w:val="32"/>
          <w:highlight w:val="none"/>
          <w:shd w:val="clear" w:color="auto" w:fill="FFFFFF"/>
        </w:rPr>
        <w:t>完善</w:t>
      </w:r>
      <w:r>
        <w:rPr>
          <w:rFonts w:hint="eastAsia" w:ascii="仿宋" w:hAnsi="仿宋" w:eastAsia="仿宋" w:cs="仿宋"/>
          <w:i w:val="0"/>
          <w:caps w:val="0"/>
          <w:color w:val="000000"/>
          <w:spacing w:val="0"/>
          <w:sz w:val="32"/>
          <w:szCs w:val="32"/>
          <w:highlight w:val="none"/>
          <w:shd w:val="clear" w:color="auto" w:fill="FFFFFF"/>
          <w:lang w:val="en-US" w:eastAsia="zh-CN"/>
        </w:rPr>
        <w:t>；二、年初</w:t>
      </w:r>
      <w:r>
        <w:rPr>
          <w:rFonts w:hint="eastAsia" w:ascii="仿宋" w:hAnsi="仿宋" w:eastAsia="仿宋" w:cs="仿宋"/>
          <w:sz w:val="32"/>
          <w:szCs w:val="32"/>
          <w:highlight w:val="none"/>
        </w:rPr>
        <w:t>绩效目标设定</w:t>
      </w:r>
      <w:r>
        <w:rPr>
          <w:rFonts w:hint="eastAsia" w:ascii="仿宋" w:hAnsi="仿宋" w:eastAsia="仿宋" w:cs="仿宋"/>
          <w:sz w:val="32"/>
          <w:szCs w:val="32"/>
          <w:highlight w:val="none"/>
          <w:lang w:val="en-US" w:eastAsia="zh-CN"/>
        </w:rPr>
        <w:t>不够全面、科学等</w:t>
      </w:r>
      <w:r>
        <w:rPr>
          <w:rFonts w:hint="eastAsia" w:ascii="仿宋" w:hAnsi="仿宋" w:eastAsia="仿宋" w:cs="仿宋"/>
          <w:i w:val="0"/>
          <w:caps w:val="0"/>
          <w:color w:val="000000"/>
          <w:spacing w:val="0"/>
          <w:sz w:val="32"/>
          <w:szCs w:val="32"/>
          <w:highlight w:val="none"/>
          <w:shd w:val="clear" w:color="auto" w:fill="FFFFFF"/>
          <w:lang w:eastAsia="zh-CN"/>
        </w:rPr>
        <w:t>。</w:t>
      </w:r>
      <w:r>
        <w:rPr>
          <w:rFonts w:hint="eastAsia" w:ascii="仿宋" w:hAnsi="仿宋" w:eastAsia="仿宋" w:cs="仿宋"/>
          <w:i w:val="0"/>
          <w:caps w:val="0"/>
          <w:color w:val="000000"/>
          <w:spacing w:val="0"/>
          <w:sz w:val="32"/>
          <w:szCs w:val="32"/>
          <w:highlight w:val="none"/>
          <w:shd w:val="clear" w:color="auto" w:fill="FFFFFF"/>
        </w:rPr>
        <w:t>由于预算绩效管理工作缺乏系统的培训，对预算绩效管理</w:t>
      </w:r>
      <w:r>
        <w:rPr>
          <w:rFonts w:hint="eastAsia" w:ascii="仿宋" w:hAnsi="仿宋" w:eastAsia="仿宋" w:cs="仿宋"/>
          <w:i w:val="0"/>
          <w:caps w:val="0"/>
          <w:color w:val="000000"/>
          <w:spacing w:val="0"/>
          <w:sz w:val="32"/>
          <w:szCs w:val="32"/>
          <w:highlight w:val="none"/>
          <w:shd w:val="clear" w:color="auto" w:fill="FFFFFF"/>
          <w:lang w:eastAsia="zh-CN"/>
        </w:rPr>
        <w:t>能力有待进一步提升</w:t>
      </w:r>
      <w:r>
        <w:rPr>
          <w:rFonts w:hint="eastAsia" w:ascii="仿宋" w:hAnsi="仿宋" w:eastAsia="仿宋" w:cs="仿宋"/>
          <w:i w:val="0"/>
          <w:caps w:val="0"/>
          <w:color w:val="000000"/>
          <w:spacing w:val="0"/>
          <w:sz w:val="32"/>
          <w:szCs w:val="32"/>
          <w:highlight w:val="none"/>
          <w:shd w:val="clear" w:color="auto" w:fill="FFFFFF"/>
        </w:rPr>
        <w:t>。</w:t>
      </w:r>
    </w:p>
    <w:p w14:paraId="3B57B8EA">
      <w:pPr>
        <w:spacing w:line="560" w:lineRule="exact"/>
        <w:ind w:firstLine="640" w:firstLineChars="200"/>
        <w:rPr>
          <w:rFonts w:ascii="楷体" w:hAnsi="楷体" w:eastAsia="楷体"/>
          <w:bCs/>
          <w:sz w:val="32"/>
          <w:szCs w:val="32"/>
        </w:rPr>
      </w:pPr>
      <w:r>
        <w:rPr>
          <w:rFonts w:hint="eastAsia" w:ascii="楷体" w:hAnsi="楷体" w:eastAsia="楷体"/>
          <w:bCs/>
          <w:sz w:val="32"/>
          <w:szCs w:val="32"/>
        </w:rPr>
        <w:t>（二）针对问题提出具体的改进措施或建议</w:t>
      </w:r>
    </w:p>
    <w:p w14:paraId="118EE4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i w:val="0"/>
          <w:caps w:val="0"/>
          <w:color w:val="000000"/>
          <w:spacing w:val="0"/>
          <w:sz w:val="32"/>
          <w:szCs w:val="32"/>
          <w:highlight w:val="none"/>
          <w:shd w:val="clear" w:color="auto" w:fill="FFFFFF"/>
          <w:lang w:val="en-US" w:eastAsia="zh-CN"/>
        </w:rPr>
      </w:pPr>
      <w:r>
        <w:rPr>
          <w:rFonts w:hint="eastAsia" w:ascii="仿宋" w:hAnsi="仿宋" w:eastAsia="仿宋" w:cs="仿宋"/>
          <w:i w:val="0"/>
          <w:caps w:val="0"/>
          <w:color w:val="000000"/>
          <w:spacing w:val="0"/>
          <w:sz w:val="32"/>
          <w:szCs w:val="32"/>
          <w:highlight w:val="none"/>
          <w:shd w:val="clear" w:color="auto" w:fill="FFFFFF"/>
          <w:lang w:eastAsia="zh-CN"/>
        </w:rPr>
        <w:t>我单位</w:t>
      </w:r>
      <w:r>
        <w:rPr>
          <w:rFonts w:hint="eastAsia" w:ascii="仿宋" w:hAnsi="仿宋" w:eastAsia="仿宋" w:cs="仿宋"/>
          <w:b w:val="0"/>
          <w:bCs/>
          <w:i w:val="0"/>
          <w:caps w:val="0"/>
          <w:color w:val="000000"/>
          <w:spacing w:val="0"/>
          <w:sz w:val="32"/>
          <w:szCs w:val="32"/>
          <w:highlight w:val="none"/>
          <w:shd w:val="clear" w:color="auto" w:fill="FFFFFF"/>
        </w:rPr>
        <w:t>下一步</w:t>
      </w:r>
      <w:r>
        <w:rPr>
          <w:rFonts w:hint="eastAsia" w:ascii="仿宋" w:hAnsi="仿宋" w:eastAsia="仿宋" w:cs="仿宋"/>
          <w:b w:val="0"/>
          <w:bCs/>
          <w:i w:val="0"/>
          <w:caps w:val="0"/>
          <w:color w:val="000000"/>
          <w:spacing w:val="0"/>
          <w:sz w:val="32"/>
          <w:szCs w:val="32"/>
          <w:highlight w:val="none"/>
          <w:shd w:val="clear" w:color="auto" w:fill="FFFFFF"/>
          <w:lang w:val="en-US" w:eastAsia="zh-CN"/>
        </w:rPr>
        <w:t>改进工作如下：要以年初预算确定的项目绩效目标和绩效指标为依据，与项目完成后的绩效目标与指标逐项进行对比与分析，对年初</w:t>
      </w:r>
      <w:r>
        <w:rPr>
          <w:rFonts w:hint="eastAsia" w:ascii="仿宋" w:hAnsi="仿宋" w:eastAsia="仿宋" w:cs="仿宋"/>
          <w:sz w:val="32"/>
          <w:szCs w:val="32"/>
          <w:highlight w:val="none"/>
        </w:rPr>
        <w:t>绩效目标设定</w:t>
      </w:r>
      <w:r>
        <w:rPr>
          <w:rFonts w:hint="eastAsia" w:ascii="仿宋" w:hAnsi="仿宋" w:eastAsia="仿宋" w:cs="仿宋"/>
          <w:sz w:val="32"/>
          <w:szCs w:val="32"/>
          <w:highlight w:val="none"/>
          <w:lang w:val="en-US" w:eastAsia="zh-CN"/>
        </w:rPr>
        <w:t>不够全面、科学的</w:t>
      </w:r>
      <w:r>
        <w:rPr>
          <w:rFonts w:hint="eastAsia" w:ascii="仿宋" w:hAnsi="仿宋" w:eastAsia="仿宋" w:cs="仿宋"/>
          <w:b w:val="0"/>
          <w:bCs/>
          <w:i w:val="0"/>
          <w:caps w:val="0"/>
          <w:color w:val="000000"/>
          <w:spacing w:val="0"/>
          <w:sz w:val="32"/>
          <w:szCs w:val="32"/>
          <w:highlight w:val="none"/>
          <w:shd w:val="clear" w:color="auto" w:fill="FFFFFF"/>
          <w:lang w:val="en-US" w:eastAsia="zh-CN"/>
        </w:rPr>
        <w:t>项目进行更正。系统的进行评价指标体系的学习，更加深入了解项目内容，客观分析绩效目标与指标，来进一步完善评价指标体系的设定。</w:t>
      </w:r>
    </w:p>
    <w:p w14:paraId="0984A839">
      <w:pPr>
        <w:pStyle w:val="3"/>
        <w:rPr>
          <w:rFonts w:hint="eastAsia" w:ascii="仿宋" w:hAnsi="仿宋" w:eastAsia="仿宋" w:cs="仿宋"/>
          <w:b w:val="0"/>
          <w:bCs/>
          <w:i w:val="0"/>
          <w:caps w:val="0"/>
          <w:color w:val="000000"/>
          <w:spacing w:val="0"/>
          <w:sz w:val="32"/>
          <w:szCs w:val="32"/>
          <w:highlight w:val="none"/>
          <w:shd w:val="clear" w:color="auto" w:fill="FFFFFF"/>
          <w:lang w:val="en-US" w:eastAsia="zh-CN"/>
        </w:rPr>
      </w:pPr>
    </w:p>
    <w:p w14:paraId="743539A3">
      <w:pPr>
        <w:keepNext w:val="0"/>
        <w:keepLines w:val="0"/>
        <w:pageBreakBefore w:val="0"/>
        <w:widowControl w:val="0"/>
        <w:kinsoku/>
        <w:wordWrap/>
        <w:overflowPunct/>
        <w:topLinePunct w:val="0"/>
        <w:autoSpaceDE/>
        <w:autoSpaceDN/>
        <w:bidi w:val="0"/>
        <w:spacing w:line="360" w:lineRule="auto"/>
        <w:ind w:firstLine="640" w:firstLineChars="200"/>
        <w:jc w:val="right"/>
        <w:textAlignment w:val="auto"/>
        <w:rPr>
          <w:rFonts w:hint="default" w:ascii="仿宋" w:hAnsi="仿宋" w:eastAsia="仿宋"/>
          <w:sz w:val="32"/>
          <w:szCs w:val="32"/>
          <w:lang w:val="en-US"/>
        </w:rPr>
      </w:pPr>
      <w:r>
        <w:rPr>
          <w:rFonts w:hint="default" w:ascii="仿宋" w:hAnsi="仿宋" w:eastAsia="仿宋"/>
          <w:sz w:val="32"/>
          <w:szCs w:val="32"/>
          <w:lang w:val="en-US"/>
        </w:rPr>
        <w:t>长安区房屋征收中心</w:t>
      </w:r>
    </w:p>
    <w:p w14:paraId="79C4526E">
      <w:pPr>
        <w:keepNext w:val="0"/>
        <w:keepLines w:val="0"/>
        <w:pageBreakBefore w:val="0"/>
        <w:widowControl w:val="0"/>
        <w:kinsoku/>
        <w:wordWrap/>
        <w:overflowPunct/>
        <w:topLinePunct w:val="0"/>
        <w:autoSpaceDE/>
        <w:autoSpaceDN/>
        <w:bidi w:val="0"/>
        <w:spacing w:line="360" w:lineRule="auto"/>
        <w:ind w:firstLine="6240" w:firstLineChars="1950"/>
        <w:jc w:val="right"/>
        <w:textAlignment w:val="auto"/>
      </w:pPr>
      <w:r>
        <w:rPr>
          <w:rFonts w:hint="default" w:ascii="仿宋" w:hAnsi="仿宋" w:eastAsia="仿宋"/>
          <w:sz w:val="32"/>
          <w:szCs w:val="32"/>
          <w:lang w:val="en-US"/>
        </w:rPr>
        <w:t>2026年4月24日</w:t>
      </w: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63"/>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ArialUnicodeMS">
    <w:altName w:val="Malgun Gothic"/>
    <w:panose1 w:val="00000000000000000000"/>
    <w:charset w:val="81"/>
    <w:family w:val="auto"/>
    <w:pitch w:val="default"/>
    <w:sig w:usb0="00000000" w:usb1="00000000" w:usb2="00000010" w:usb3="00000000" w:csb0="00080001" w:csb1="00000000"/>
  </w:font>
  <w:font w:name="DengXian-Regular">
    <w:altName w:val="宋体"/>
    <w:panose1 w:val="00000000000000000000"/>
    <w:charset w:val="86"/>
    <w:family w:val="auto"/>
    <w:pitch w:val="default"/>
    <w:sig w:usb0="00000000" w:usb1="00000000" w:usb2="00000010" w:usb3="00000000" w:csb0="00040001" w:csb1="00000000"/>
  </w:font>
  <w:font w:name="方正书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DE069">
    <w:pPr>
      <w:pStyle w:val="7"/>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6248FE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5E68489B"/>
    <w:multiLevelType w:val="singleLevel"/>
    <w:tmpl w:val="5E68489B"/>
    <w:lvl w:ilvl="0" w:tentative="0">
      <w:start w:val="1"/>
      <w:numFmt w:val="chineseCounting"/>
      <w:suff w:val="nothing"/>
      <w:lvlText w:val="（%1）"/>
      <w:lvlJc w:val="left"/>
      <w:rPr>
        <w:rFonts w:ascii="楷体" w:hAnsi="楷体" w:eastAsia="楷体"/>
      </w:rPr>
    </w:lvl>
  </w:abstractNum>
  <w:abstractNum w:abstractNumId="2">
    <w:nsid w:val="7721417C"/>
    <w:multiLevelType w:val="singleLevel"/>
    <w:tmpl w:val="7721417C"/>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2QzZjQyMzJhMTRkYTc2N2UzMzk5N2U2YjRmYmM3ZWQifQ=="/>
  </w:docVars>
  <w:rsids>
    <w:rsidRoot w:val="0EBD2122"/>
    <w:rsid w:val="000B0260"/>
    <w:rsid w:val="007E6C1F"/>
    <w:rsid w:val="00956A93"/>
    <w:rsid w:val="009E575C"/>
    <w:rsid w:val="00AF167E"/>
    <w:rsid w:val="00AF566A"/>
    <w:rsid w:val="00B478EA"/>
    <w:rsid w:val="00B6553A"/>
    <w:rsid w:val="00BC6576"/>
    <w:rsid w:val="00CE06BA"/>
    <w:rsid w:val="00F441CC"/>
    <w:rsid w:val="01B104CA"/>
    <w:rsid w:val="02106AB0"/>
    <w:rsid w:val="02B43A28"/>
    <w:rsid w:val="046F331E"/>
    <w:rsid w:val="07956271"/>
    <w:rsid w:val="09721397"/>
    <w:rsid w:val="0BB63BED"/>
    <w:rsid w:val="0EB97A43"/>
    <w:rsid w:val="0EBD2122"/>
    <w:rsid w:val="0F214EAE"/>
    <w:rsid w:val="11B71E6A"/>
    <w:rsid w:val="1AAF0063"/>
    <w:rsid w:val="1BE140DE"/>
    <w:rsid w:val="220A0D41"/>
    <w:rsid w:val="248C197D"/>
    <w:rsid w:val="252959AF"/>
    <w:rsid w:val="274A459E"/>
    <w:rsid w:val="277A6671"/>
    <w:rsid w:val="292D35B7"/>
    <w:rsid w:val="33EB6CFF"/>
    <w:rsid w:val="35A12947"/>
    <w:rsid w:val="37387040"/>
    <w:rsid w:val="3B625C0A"/>
    <w:rsid w:val="3CEE1963"/>
    <w:rsid w:val="3D425D69"/>
    <w:rsid w:val="3EA80D19"/>
    <w:rsid w:val="44C93BEB"/>
    <w:rsid w:val="4C9C27FE"/>
    <w:rsid w:val="512260B4"/>
    <w:rsid w:val="52BD6ACB"/>
    <w:rsid w:val="55537534"/>
    <w:rsid w:val="561A74F1"/>
    <w:rsid w:val="56255E53"/>
    <w:rsid w:val="57F8000E"/>
    <w:rsid w:val="597244E8"/>
    <w:rsid w:val="59AA682C"/>
    <w:rsid w:val="5B9E7FBE"/>
    <w:rsid w:val="5BDE74FF"/>
    <w:rsid w:val="5EB71C30"/>
    <w:rsid w:val="66AF0CE5"/>
    <w:rsid w:val="6AC537CF"/>
    <w:rsid w:val="6E5B14A6"/>
    <w:rsid w:val="711B255E"/>
    <w:rsid w:val="72276C94"/>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customStyle="1" w:styleId="4">
    <w:name w:val="正文部分 Char Char Char"/>
    <w:basedOn w:val="3"/>
    <w:next w:val="5"/>
    <w:autoRedefine/>
    <w:qFormat/>
    <w:uiPriority w:val="0"/>
    <w:pPr>
      <w:adjustRightInd w:val="0"/>
      <w:snapToGrid w:val="0"/>
      <w:spacing w:line="460" w:lineRule="exact"/>
      <w:textAlignment w:val="baseline"/>
    </w:pPr>
    <w:rPr>
      <w:rFonts w:ascii="Calibri" w:hAnsi="Calibri" w:eastAsia="宋体" w:cs="宋体"/>
      <w:sz w:val="24"/>
    </w:rPr>
  </w:style>
  <w:style w:type="paragraph" w:customStyle="1" w:styleId="5">
    <w:name w:val="章标题"/>
    <w:basedOn w:val="6"/>
    <w:autoRedefine/>
    <w:qFormat/>
    <w:uiPriority w:val="0"/>
    <w:rPr>
      <w:rFonts w:ascii="Cambria" w:hAnsi="Cambria" w:eastAsia="宋体" w:cs="Times New Roman"/>
    </w:rPr>
  </w:style>
  <w:style w:type="paragraph" w:styleId="6">
    <w:name w:val="Title"/>
    <w:basedOn w:val="1"/>
    <w:next w:val="1"/>
    <w:qFormat/>
    <w:uiPriority w:val="0"/>
    <w:pPr>
      <w:spacing w:before="240" w:after="60"/>
      <w:jc w:val="center"/>
      <w:outlineLvl w:val="0"/>
    </w:pPr>
    <w:rPr>
      <w:rFonts w:ascii="Cambria" w:hAnsi="Cambria" w:eastAsia="宋体" w:cs="Times New Roman"/>
      <w:b/>
      <w:bCs/>
      <w:sz w:val="3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1887</Words>
  <Characters>1926</Characters>
  <Lines>4</Lines>
  <Paragraphs>1</Paragraphs>
  <TotalTime>12</TotalTime>
  <ScaleCrop>false</ScaleCrop>
  <LinksUpToDate>false</LinksUpToDate>
  <CharactersWithSpaces>1941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Administrator</cp:lastModifiedBy>
  <cp:lastPrinted>2026-04-29T02:41:57Z</cp:lastPrinted>
  <dcterms:modified xsi:type="dcterms:W3CDTF">2026-04-29T03:28:44Z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4A19074DC8414FE6B62EBFA35238C9D8</vt:lpwstr>
  </property>
  <property fmtid="{D5CDD505-2E9C-101B-9397-08002B2CF9AE}" pid="4" name="KSOTemplateDocerSaveRecord">
    <vt:lpwstr>eyJoZGlkIjoiNzcyM2NkYmY2Y2VmNjAxYjJjYjUwZjQ4ZDBlYTlkYTMiLCJ1c2VySWQiOiI4OTgwOTExODIifQ==</vt:lpwstr>
  </property>
</Properties>
</file>