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C99F9">
      <w:pPr>
        <w:pStyle w:val="45"/>
        <w:spacing w:beforeLines="100" w:afterLines="100" w:line="560" w:lineRule="exact"/>
        <w:ind w:firstLine="560"/>
      </w:pPr>
    </w:p>
    <w:p w14:paraId="6EC36EBF">
      <w:pPr>
        <w:pStyle w:val="45"/>
        <w:spacing w:beforeLines="100" w:afterLines="100" w:line="560" w:lineRule="exact"/>
        <w:ind w:firstLine="560"/>
      </w:pPr>
    </w:p>
    <w:p w14:paraId="78BA39F8">
      <w:pPr>
        <w:pStyle w:val="45"/>
        <w:spacing w:afterLines="50" w:line="460" w:lineRule="exact"/>
        <w:ind w:firstLine="560"/>
      </w:pPr>
    </w:p>
    <w:p w14:paraId="5106659B">
      <w:pPr>
        <w:jc w:val="center"/>
        <w:rPr>
          <w:rFonts w:ascii="方正小标宋简体" w:hAnsi="方正小标宋简体" w:eastAsia="方正小标宋简体" w:cs="Times New Roman"/>
          <w:spacing w:val="14"/>
          <w:sz w:val="68"/>
          <w:szCs w:val="68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pacing w:val="14"/>
          <w:sz w:val="68"/>
          <w:szCs w:val="68"/>
          <w:shd w:val="clear" w:color="auto" w:fill="FFFFFF"/>
        </w:rPr>
        <w:t>政</w:t>
      </w:r>
      <w:r>
        <w:rPr>
          <w:rFonts w:ascii="方正小标宋简体" w:hAnsi="方正小标宋简体" w:eastAsia="方正小标宋简体" w:cs="方正小标宋简体"/>
          <w:spacing w:val="14"/>
          <w:sz w:val="68"/>
          <w:szCs w:val="68"/>
          <w:shd w:val="clear" w:color="auto" w:fill="FFFFFF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pacing w:val="14"/>
          <w:sz w:val="68"/>
          <w:szCs w:val="68"/>
          <w:shd w:val="clear" w:color="auto" w:fill="FFFFFF"/>
        </w:rPr>
        <w:t>府</w:t>
      </w:r>
      <w:r>
        <w:rPr>
          <w:rFonts w:ascii="方正小标宋简体" w:hAnsi="方正小标宋简体" w:eastAsia="方正小标宋简体" w:cs="方正小标宋简体"/>
          <w:spacing w:val="14"/>
          <w:sz w:val="68"/>
          <w:szCs w:val="68"/>
          <w:shd w:val="clear" w:color="auto" w:fill="FFFFFF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pacing w:val="14"/>
          <w:sz w:val="68"/>
          <w:szCs w:val="68"/>
          <w:shd w:val="clear" w:color="auto" w:fill="FFFFFF"/>
        </w:rPr>
        <w:t>工</w:t>
      </w:r>
      <w:r>
        <w:rPr>
          <w:rFonts w:ascii="方正小标宋简体" w:hAnsi="方正小标宋简体" w:eastAsia="方正小标宋简体" w:cs="方正小标宋简体"/>
          <w:spacing w:val="14"/>
          <w:sz w:val="68"/>
          <w:szCs w:val="68"/>
          <w:shd w:val="clear" w:color="auto" w:fill="FFFFFF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pacing w:val="14"/>
          <w:sz w:val="68"/>
          <w:szCs w:val="68"/>
          <w:shd w:val="clear" w:color="auto" w:fill="FFFFFF"/>
        </w:rPr>
        <w:t>作</w:t>
      </w:r>
      <w:r>
        <w:rPr>
          <w:rFonts w:ascii="方正小标宋简体" w:hAnsi="方正小标宋简体" w:eastAsia="方正小标宋简体" w:cs="方正小标宋简体"/>
          <w:spacing w:val="14"/>
          <w:sz w:val="68"/>
          <w:szCs w:val="68"/>
          <w:shd w:val="clear" w:color="auto" w:fill="FFFFFF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pacing w:val="14"/>
          <w:sz w:val="68"/>
          <w:szCs w:val="68"/>
          <w:shd w:val="clear" w:color="auto" w:fill="FFFFFF"/>
        </w:rPr>
        <w:t>报</w:t>
      </w:r>
      <w:r>
        <w:rPr>
          <w:rFonts w:ascii="方正小标宋简体" w:hAnsi="方正小标宋简体" w:eastAsia="方正小标宋简体" w:cs="方正小标宋简体"/>
          <w:spacing w:val="14"/>
          <w:sz w:val="68"/>
          <w:szCs w:val="68"/>
          <w:shd w:val="clear" w:color="auto" w:fill="FFFFFF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pacing w:val="14"/>
          <w:sz w:val="68"/>
          <w:szCs w:val="68"/>
          <w:shd w:val="clear" w:color="auto" w:fill="FFFFFF"/>
        </w:rPr>
        <w:t>告</w:t>
      </w:r>
    </w:p>
    <w:p w14:paraId="65EFB685">
      <w:pPr>
        <w:spacing w:line="540" w:lineRule="exact"/>
        <w:jc w:val="center"/>
        <w:rPr>
          <w:rFonts w:ascii="楷体_GB2312" w:hAnsi="Times New Roman" w:eastAsia="楷体_GB2312" w:cs="Times New Roman"/>
          <w:sz w:val="32"/>
          <w:szCs w:val="32"/>
          <w:shd w:val="clear" w:color="auto" w:fill="FFFFFF"/>
        </w:rPr>
      </w:pPr>
    </w:p>
    <w:p w14:paraId="57A5F3E5">
      <w:pPr>
        <w:spacing w:line="600" w:lineRule="exact"/>
        <w:jc w:val="center"/>
        <w:rPr>
          <w:rFonts w:ascii="Times New Roman" w:hAnsi="Times New Roman" w:eastAsia="楷体_GB2312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eastAsia="黑体" w:cs="Times New Roman"/>
          <w:sz w:val="32"/>
          <w:szCs w:val="32"/>
        </w:rPr>
        <w:t>——</w:t>
      </w:r>
      <w:r>
        <w:rPr>
          <w:rFonts w:ascii="Times New Roman" w:hAnsi="Times New Roman" w:eastAsia="楷体_GB2312" w:cs="Times New Roman"/>
          <w:sz w:val="32"/>
          <w:szCs w:val="32"/>
          <w:shd w:val="clear" w:color="auto" w:fill="FFFFFF"/>
        </w:rPr>
        <w:t>2023</w:t>
      </w:r>
      <w:r>
        <w:rPr>
          <w:rFonts w:hint="eastAsia" w:ascii="Times New Roman" w:hAnsi="Times New Roman" w:eastAsia="楷体_GB2312" w:cs="楷体_GB2312"/>
          <w:sz w:val="32"/>
          <w:szCs w:val="32"/>
          <w:shd w:val="clear" w:color="auto" w:fill="FFFFFF"/>
        </w:rPr>
        <w:t>年</w:t>
      </w:r>
      <w:r>
        <w:rPr>
          <w:rFonts w:ascii="Times New Roman" w:hAnsi="Times New Roman" w:eastAsia="楷体_GB2312" w:cs="Times New Roman"/>
          <w:sz w:val="32"/>
          <w:szCs w:val="32"/>
          <w:shd w:val="clear" w:color="auto" w:fill="FFFFFF"/>
        </w:rPr>
        <w:t>1</w:t>
      </w:r>
      <w:r>
        <w:rPr>
          <w:rFonts w:hint="eastAsia" w:ascii="Times New Roman" w:hAnsi="Times New Roman" w:eastAsia="楷体_GB2312" w:cs="楷体_GB2312"/>
          <w:sz w:val="32"/>
          <w:szCs w:val="32"/>
          <w:shd w:val="clear" w:color="auto" w:fill="FFFFFF"/>
        </w:rPr>
        <w:t>月</w:t>
      </w:r>
      <w:r>
        <w:rPr>
          <w:rFonts w:ascii="Times New Roman" w:hAnsi="Times New Roman" w:eastAsia="楷体_GB2312" w:cs="Times New Roman"/>
          <w:sz w:val="32"/>
          <w:szCs w:val="32"/>
          <w:shd w:val="clear" w:color="auto" w:fill="FFFFFF"/>
        </w:rPr>
        <w:t>12</w:t>
      </w:r>
      <w:r>
        <w:rPr>
          <w:rFonts w:hint="eastAsia" w:ascii="Times New Roman" w:hAnsi="Times New Roman" w:eastAsia="楷体_GB2312" w:cs="楷体_GB2312"/>
          <w:sz w:val="32"/>
          <w:szCs w:val="32"/>
          <w:shd w:val="clear" w:color="auto" w:fill="FFFFFF"/>
        </w:rPr>
        <w:t>日在石家庄市长安区</w:t>
      </w:r>
    </w:p>
    <w:p w14:paraId="6F36311E">
      <w:pPr>
        <w:spacing w:line="600" w:lineRule="exact"/>
        <w:jc w:val="center"/>
        <w:rPr>
          <w:rFonts w:ascii="Times New Roman" w:hAnsi="Times New Roman" w:eastAsia="楷体_GB2312" w:cs="Times New Roman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楷体_GB2312" w:cs="楷体_GB2312"/>
          <w:sz w:val="32"/>
          <w:szCs w:val="32"/>
          <w:shd w:val="clear" w:color="auto" w:fill="FFFFFF"/>
        </w:rPr>
        <w:t>第十七届人民代表大会第四次会议上</w:t>
      </w:r>
    </w:p>
    <w:p w14:paraId="69A6B4E9">
      <w:pPr>
        <w:spacing w:line="340" w:lineRule="exact"/>
        <w:jc w:val="center"/>
        <w:rPr>
          <w:rFonts w:ascii="Times New Roman" w:hAnsi="Times New Roman" w:eastAsia="楷体_GB2312" w:cs="Times New Roman"/>
          <w:sz w:val="32"/>
          <w:szCs w:val="32"/>
          <w:shd w:val="clear" w:color="auto" w:fill="FFFFFF"/>
        </w:rPr>
      </w:pPr>
    </w:p>
    <w:p w14:paraId="27C6BA99">
      <w:pPr>
        <w:pStyle w:val="45"/>
        <w:ind w:firstLine="0" w:firstLineChars="0"/>
        <w:jc w:val="center"/>
      </w:pPr>
      <w:r>
        <w:rPr>
          <w:rFonts w:hint="eastAsia" w:eastAsia="楷体_GB2312" w:cs="楷体_GB2312"/>
          <w:sz w:val="32"/>
          <w:szCs w:val="32"/>
          <w:shd w:val="clear" w:color="auto" w:fill="FFFFFF"/>
        </w:rPr>
        <w:t>长安区人民政府区长</w:t>
      </w:r>
      <w:r>
        <w:rPr>
          <w:rFonts w:eastAsia="楷体_GB2312"/>
          <w:sz w:val="32"/>
          <w:szCs w:val="32"/>
          <w:shd w:val="clear" w:color="auto" w:fill="FFFFFF"/>
        </w:rPr>
        <w:t xml:space="preserve">  </w:t>
      </w:r>
      <w:r>
        <w:rPr>
          <w:rFonts w:hint="eastAsia" w:eastAsia="楷体_GB2312" w:cs="楷体_GB2312"/>
          <w:sz w:val="32"/>
          <w:szCs w:val="32"/>
          <w:shd w:val="clear" w:color="auto" w:fill="FFFFFF"/>
        </w:rPr>
        <w:t>吴概球</w:t>
      </w:r>
    </w:p>
    <w:p w14:paraId="1385E01B">
      <w:pPr>
        <w:spacing w:line="600" w:lineRule="exact"/>
        <w:jc w:val="center"/>
        <w:rPr>
          <w:rFonts w:ascii="Times New Roman" w:hAnsi="Times New Roman" w:eastAsia="方正小标宋简体" w:cs="Times New Roman"/>
          <w:sz w:val="52"/>
          <w:szCs w:val="52"/>
          <w:shd w:val="clear" w:color="auto" w:fill="FFFFFF"/>
        </w:rPr>
        <w:sectPr>
          <w:footerReference r:id="rId3" w:type="default"/>
          <w:pgSz w:w="11906" w:h="16838"/>
          <w:pgMar w:top="2098" w:right="1531" w:bottom="1985" w:left="1531" w:header="851" w:footer="1418" w:gutter="0"/>
          <w:pgNumType w:start="0"/>
          <w:cols w:space="0" w:num="1"/>
          <w:titlePg/>
          <w:docGrid w:type="lines" w:linePitch="312" w:charSpace="0"/>
        </w:sectPr>
      </w:pPr>
    </w:p>
    <w:p w14:paraId="76A2C41F">
      <w:pPr>
        <w:spacing w:line="600" w:lineRule="exact"/>
        <w:jc w:val="center"/>
        <w:rPr>
          <w:rFonts w:ascii="Times New Roman" w:hAnsi="Times New Roman" w:eastAsia="方正小标宋简体" w:cs="Times New Roman"/>
          <w:sz w:val="52"/>
          <w:szCs w:val="52"/>
          <w:shd w:val="clear" w:color="auto" w:fill="FFFFFF"/>
        </w:rPr>
      </w:pPr>
    </w:p>
    <w:p w14:paraId="66D63B1B">
      <w:pPr>
        <w:spacing w:line="600" w:lineRule="exact"/>
        <w:jc w:val="center"/>
        <w:rPr>
          <w:rFonts w:ascii="Times New Roman" w:hAnsi="Times New Roman" w:eastAsia="黑体" w:cs="Times New Roman"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sz w:val="52"/>
          <w:szCs w:val="52"/>
          <w:shd w:val="clear" w:color="auto" w:fill="FFFFFF"/>
        </w:rPr>
        <w:t>政</w:t>
      </w:r>
      <w:r>
        <w:rPr>
          <w:rFonts w:ascii="Times New Roman" w:hAnsi="Times New Roman" w:eastAsia="方正小标宋简体" w:cs="Times New Roman"/>
          <w:sz w:val="52"/>
          <w:szCs w:val="52"/>
          <w:shd w:val="clear" w:color="auto" w:fill="FFFFFF"/>
        </w:rPr>
        <w:t xml:space="preserve"> </w:t>
      </w:r>
      <w:r>
        <w:rPr>
          <w:rFonts w:hint="eastAsia" w:ascii="Times New Roman" w:hAnsi="Times New Roman" w:eastAsia="方正小标宋简体" w:cs="方正小标宋简体"/>
          <w:sz w:val="52"/>
          <w:szCs w:val="52"/>
          <w:shd w:val="clear" w:color="auto" w:fill="FFFFFF"/>
        </w:rPr>
        <w:t>府</w:t>
      </w:r>
      <w:r>
        <w:rPr>
          <w:rFonts w:ascii="Times New Roman" w:hAnsi="Times New Roman" w:eastAsia="方正小标宋简体" w:cs="Times New Roman"/>
          <w:sz w:val="52"/>
          <w:szCs w:val="52"/>
          <w:shd w:val="clear" w:color="auto" w:fill="FFFFFF"/>
        </w:rPr>
        <w:t xml:space="preserve"> </w:t>
      </w:r>
      <w:r>
        <w:rPr>
          <w:rFonts w:hint="eastAsia" w:ascii="Times New Roman" w:hAnsi="Times New Roman" w:eastAsia="方正小标宋简体" w:cs="方正小标宋简体"/>
          <w:sz w:val="52"/>
          <w:szCs w:val="52"/>
          <w:shd w:val="clear" w:color="auto" w:fill="FFFFFF"/>
        </w:rPr>
        <w:t>工</w:t>
      </w:r>
      <w:r>
        <w:rPr>
          <w:rFonts w:ascii="Times New Roman" w:hAnsi="Times New Roman" w:eastAsia="方正小标宋简体" w:cs="Times New Roman"/>
          <w:sz w:val="52"/>
          <w:szCs w:val="52"/>
          <w:shd w:val="clear" w:color="auto" w:fill="FFFFFF"/>
        </w:rPr>
        <w:t xml:space="preserve"> </w:t>
      </w:r>
      <w:r>
        <w:rPr>
          <w:rFonts w:hint="eastAsia" w:ascii="Times New Roman" w:hAnsi="Times New Roman" w:eastAsia="方正小标宋简体" w:cs="方正小标宋简体"/>
          <w:sz w:val="52"/>
          <w:szCs w:val="52"/>
          <w:shd w:val="clear" w:color="auto" w:fill="FFFFFF"/>
        </w:rPr>
        <w:t>作</w:t>
      </w:r>
      <w:r>
        <w:rPr>
          <w:rFonts w:ascii="Times New Roman" w:hAnsi="Times New Roman" w:eastAsia="方正小标宋简体" w:cs="Times New Roman"/>
          <w:sz w:val="52"/>
          <w:szCs w:val="52"/>
          <w:shd w:val="clear" w:color="auto" w:fill="FFFFFF"/>
        </w:rPr>
        <w:t xml:space="preserve"> </w:t>
      </w:r>
      <w:r>
        <w:rPr>
          <w:rFonts w:hint="eastAsia" w:ascii="Times New Roman" w:hAnsi="Times New Roman" w:eastAsia="方正小标宋简体" w:cs="方正小标宋简体"/>
          <w:sz w:val="52"/>
          <w:szCs w:val="52"/>
          <w:shd w:val="clear" w:color="auto" w:fill="FFFFFF"/>
        </w:rPr>
        <w:t>报</w:t>
      </w:r>
      <w:r>
        <w:rPr>
          <w:rFonts w:ascii="Times New Roman" w:hAnsi="Times New Roman" w:eastAsia="方正小标宋简体" w:cs="Times New Roman"/>
          <w:sz w:val="52"/>
          <w:szCs w:val="52"/>
          <w:shd w:val="clear" w:color="auto" w:fill="FFFFFF"/>
        </w:rPr>
        <w:t xml:space="preserve"> </w:t>
      </w:r>
      <w:r>
        <w:rPr>
          <w:rFonts w:hint="eastAsia" w:ascii="Times New Roman" w:hAnsi="Times New Roman" w:eastAsia="方正小标宋简体" w:cs="方正小标宋简体"/>
          <w:sz w:val="52"/>
          <w:szCs w:val="52"/>
          <w:shd w:val="clear" w:color="auto" w:fill="FFFFFF"/>
        </w:rPr>
        <w:t>告</w:t>
      </w:r>
    </w:p>
    <w:p w14:paraId="247D9969">
      <w:pPr>
        <w:spacing w:line="600" w:lineRule="exact"/>
        <w:jc w:val="center"/>
        <w:rPr>
          <w:rFonts w:ascii="Times New Roman" w:hAnsi="Times New Roman" w:eastAsia="仿宋_GB2312" w:cs="Times New Roman"/>
          <w:sz w:val="36"/>
          <w:szCs w:val="36"/>
          <w:shd w:val="clear" w:color="auto" w:fill="FFFFFF"/>
        </w:rPr>
      </w:pPr>
    </w:p>
    <w:p w14:paraId="58DF23DA">
      <w:pPr>
        <w:spacing w:line="576" w:lineRule="exact"/>
        <w:jc w:val="center"/>
        <w:rPr>
          <w:rFonts w:ascii="Times New Roman" w:hAnsi="Times New Roman" w:eastAsia="楷体_GB2312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eastAsia="黑体" w:cs="Times New Roman"/>
          <w:sz w:val="32"/>
          <w:szCs w:val="32"/>
        </w:rPr>
        <w:t>——</w:t>
      </w:r>
      <w:r>
        <w:rPr>
          <w:rFonts w:ascii="Times New Roman" w:hAnsi="Times New Roman" w:eastAsia="楷体_GB2312" w:cs="Times New Roman"/>
          <w:sz w:val="32"/>
          <w:szCs w:val="32"/>
          <w:shd w:val="clear" w:color="auto" w:fill="FFFFFF"/>
        </w:rPr>
        <w:t>2023</w:t>
      </w:r>
      <w:r>
        <w:rPr>
          <w:rFonts w:hint="eastAsia" w:ascii="Times New Roman" w:hAnsi="Times New Roman" w:eastAsia="楷体_GB2312" w:cs="楷体_GB2312"/>
          <w:sz w:val="32"/>
          <w:szCs w:val="32"/>
          <w:shd w:val="clear" w:color="auto" w:fill="FFFFFF"/>
        </w:rPr>
        <w:t>年</w:t>
      </w:r>
      <w:r>
        <w:rPr>
          <w:rFonts w:ascii="Times New Roman" w:hAnsi="Times New Roman" w:eastAsia="楷体_GB2312" w:cs="Times New Roman"/>
          <w:sz w:val="32"/>
          <w:szCs w:val="32"/>
          <w:shd w:val="clear" w:color="auto" w:fill="FFFFFF"/>
        </w:rPr>
        <w:t>1</w:t>
      </w:r>
      <w:r>
        <w:rPr>
          <w:rFonts w:hint="eastAsia" w:ascii="Times New Roman" w:hAnsi="Times New Roman" w:eastAsia="楷体_GB2312" w:cs="楷体_GB2312"/>
          <w:sz w:val="32"/>
          <w:szCs w:val="32"/>
          <w:shd w:val="clear" w:color="auto" w:fill="FFFFFF"/>
        </w:rPr>
        <w:t>月</w:t>
      </w:r>
      <w:r>
        <w:rPr>
          <w:rFonts w:ascii="Times New Roman" w:hAnsi="Times New Roman" w:eastAsia="楷体_GB2312" w:cs="Times New Roman"/>
          <w:sz w:val="32"/>
          <w:szCs w:val="32"/>
          <w:shd w:val="clear" w:color="auto" w:fill="FFFFFF"/>
        </w:rPr>
        <w:t>12</w:t>
      </w:r>
      <w:r>
        <w:rPr>
          <w:rFonts w:hint="eastAsia" w:ascii="Times New Roman" w:hAnsi="Times New Roman" w:eastAsia="楷体_GB2312" w:cs="楷体_GB2312"/>
          <w:sz w:val="32"/>
          <w:szCs w:val="32"/>
          <w:shd w:val="clear" w:color="auto" w:fill="FFFFFF"/>
        </w:rPr>
        <w:t>日在石家庄市长安区</w:t>
      </w:r>
    </w:p>
    <w:p w14:paraId="3B0A9547">
      <w:pPr>
        <w:spacing w:line="576" w:lineRule="exact"/>
        <w:jc w:val="center"/>
        <w:rPr>
          <w:rFonts w:ascii="Times New Roman" w:hAnsi="Times New Roman" w:eastAsia="楷体_GB2312" w:cs="Times New Roman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楷体_GB2312" w:cs="楷体_GB2312"/>
          <w:sz w:val="32"/>
          <w:szCs w:val="32"/>
          <w:shd w:val="clear" w:color="auto" w:fill="FFFFFF"/>
        </w:rPr>
        <w:t>第十七届人民代表大会第四次会议上</w:t>
      </w:r>
    </w:p>
    <w:p w14:paraId="4E994384">
      <w:pPr>
        <w:spacing w:line="400" w:lineRule="exact"/>
        <w:jc w:val="center"/>
        <w:rPr>
          <w:rFonts w:ascii="Times New Roman" w:hAnsi="Times New Roman" w:eastAsia="楷体_GB2312" w:cs="Times New Roman"/>
          <w:sz w:val="32"/>
          <w:szCs w:val="32"/>
          <w:shd w:val="clear" w:color="auto" w:fill="FFFFFF"/>
        </w:rPr>
      </w:pPr>
    </w:p>
    <w:p w14:paraId="673BAAC0">
      <w:pPr>
        <w:spacing w:line="576" w:lineRule="exact"/>
        <w:jc w:val="center"/>
        <w:rPr>
          <w:rFonts w:ascii="Times New Roman" w:hAnsi="Times New Roman" w:eastAsia="楷体_GB2312" w:cs="Times New Roman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楷体_GB2312" w:cs="楷体_GB2312"/>
          <w:sz w:val="32"/>
          <w:szCs w:val="32"/>
          <w:shd w:val="clear" w:color="auto" w:fill="FFFFFF"/>
        </w:rPr>
        <w:t>长安区人民政府区长</w:t>
      </w:r>
      <w:r>
        <w:rPr>
          <w:rFonts w:ascii="Times New Roman" w:hAnsi="Times New Roman" w:eastAsia="楷体_GB2312" w:cs="Times New Roman"/>
          <w:sz w:val="32"/>
          <w:szCs w:val="32"/>
          <w:shd w:val="clear" w:color="auto" w:fill="FFFFFF"/>
        </w:rPr>
        <w:t xml:space="preserve">  </w:t>
      </w:r>
      <w:r>
        <w:rPr>
          <w:rFonts w:hint="eastAsia" w:ascii="Times New Roman" w:hAnsi="Times New Roman" w:eastAsia="楷体_GB2312" w:cs="楷体_GB2312"/>
          <w:sz w:val="32"/>
          <w:szCs w:val="32"/>
          <w:shd w:val="clear" w:color="auto" w:fill="FFFFFF"/>
        </w:rPr>
        <w:t>吴概球</w:t>
      </w:r>
    </w:p>
    <w:p w14:paraId="634C856C">
      <w:pPr>
        <w:spacing w:line="576" w:lineRule="exact"/>
        <w:rPr>
          <w:rFonts w:ascii="Times New Roman" w:hAnsi="Times New Roman" w:eastAsia="楷体_GB2312" w:cs="Times New Roman"/>
          <w:sz w:val="32"/>
          <w:szCs w:val="32"/>
          <w:shd w:val="clear" w:color="auto" w:fill="FFFFFF"/>
        </w:rPr>
      </w:pPr>
    </w:p>
    <w:p w14:paraId="370C4632">
      <w:pPr>
        <w:spacing w:line="576" w:lineRule="exact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各位代表：</w:t>
      </w:r>
    </w:p>
    <w:p w14:paraId="12DBBA35">
      <w:pPr>
        <w:spacing w:line="576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现在，我代表区人民政府向大会作政府工作报告，请予审议，并请区政协委员和列席会议的同志提出意见。</w:t>
      </w:r>
    </w:p>
    <w:p w14:paraId="4E0DDC26">
      <w:pPr>
        <w:spacing w:beforeLines="70" w:afterLines="70" w:line="600" w:lineRule="exac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  <w:shd w:val="clear" w:color="auto" w:fill="FFFFFF"/>
        </w:rPr>
        <w:t>一、</w:t>
      </w:r>
      <w:r>
        <w:rPr>
          <w:rFonts w:ascii="Times New Roman" w:hAnsi="Times New Roman" w:eastAsia="黑体" w:cs="Times New Roman"/>
          <w:sz w:val="32"/>
          <w:szCs w:val="32"/>
          <w:shd w:val="clear" w:color="auto" w:fill="FFFFFF"/>
        </w:rPr>
        <w:t>2022</w:t>
      </w:r>
      <w:r>
        <w:rPr>
          <w:rFonts w:hint="eastAsia" w:ascii="Times New Roman" w:hAnsi="Times New Roman" w:eastAsia="黑体" w:cs="黑体"/>
          <w:sz w:val="32"/>
          <w:szCs w:val="32"/>
          <w:shd w:val="clear" w:color="auto" w:fill="FFFFFF"/>
        </w:rPr>
        <w:t>年工作回顾</w:t>
      </w:r>
    </w:p>
    <w:p w14:paraId="529323B1">
      <w:pPr>
        <w:tabs>
          <w:tab w:val="left" w:pos="8460"/>
          <w:tab w:val="left" w:pos="8640"/>
        </w:tabs>
        <w:spacing w:line="576" w:lineRule="exact"/>
        <w:ind w:firstLine="60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pacing w:val="-10"/>
          <w:sz w:val="32"/>
          <w:szCs w:val="32"/>
        </w:rPr>
        <w:t>2022</w:t>
      </w:r>
      <w:r>
        <w:rPr>
          <w:rFonts w:hint="eastAsia" w:ascii="Times New Roman" w:hAnsi="Times New Roman" w:eastAsia="仿宋_GB2312" w:cs="仿宋_GB2312"/>
          <w:spacing w:val="-10"/>
          <w:sz w:val="32"/>
          <w:szCs w:val="32"/>
        </w:rPr>
        <w:t>年是党的二十大胜利召开之年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也是长安区发展历程中极具考验、极不平凡的一年。面对复杂严峻的发展环境、交织叠加的风险挑战、艰巨繁重的发展任务，特别是疫情跌宕反复等超预期因素冲击，我们坚持以习近平新时代中国特色社会主义思想为指导，在市委、市政府和区委的坚强领导下，在区人大和区政协的监督支持下，坚决落实“疫情要防住、经济要稳住、发展要安全”的总体要求，砥砺奋进、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勠力</w:t>
      </w:r>
      <w:r>
        <w:rPr>
          <w:rFonts w:hint="eastAsia" w:ascii="Times New Roman" w:hAnsi="Times New Roman" w:eastAsia="仿宋_GB2312" w:cs="仿宋_GB2312"/>
          <w:sz w:val="32"/>
          <w:szCs w:val="32"/>
        </w:rPr>
        <w:t>前行，圆满完成十七届人大二次会议确定的各项目标任务，开创了经济社会各项事业发展新局面。</w:t>
      </w:r>
    </w:p>
    <w:p w14:paraId="677ABACC">
      <w:pPr>
        <w:spacing w:line="576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一年来，我们坚持把稳增长作为首要任务，全力以赴上项目、抓招商、扩投资，跨越赶超、提速进位的发展之路更加宽阔。</w:t>
      </w:r>
    </w:p>
    <w:p w14:paraId="20C75FBF">
      <w:pPr>
        <w:pStyle w:val="45"/>
        <w:spacing w:line="576" w:lineRule="exact"/>
        <w:ind w:firstLine="643"/>
        <w:rPr>
          <w:rFonts w:eastAsia="仿宋_GB2312"/>
          <w:sz w:val="32"/>
          <w:szCs w:val="32"/>
        </w:rPr>
      </w:pPr>
      <w:r>
        <w:rPr>
          <w:rFonts w:hint="eastAsia" w:eastAsia="楷体_GB2312" w:cs="楷体_GB2312"/>
          <w:b/>
          <w:bCs/>
          <w:sz w:val="32"/>
          <w:szCs w:val="32"/>
        </w:rPr>
        <w:t>经济运行稳中有进。</w:t>
      </w:r>
      <w:r>
        <w:rPr>
          <w:rFonts w:hint="eastAsia" w:eastAsia="仿宋_GB2312" w:cs="仿宋_GB2312"/>
          <w:sz w:val="32"/>
          <w:szCs w:val="32"/>
        </w:rPr>
        <w:t>一般公共预算收入完成</w:t>
      </w:r>
      <w:r>
        <w:rPr>
          <w:rFonts w:eastAsia="仿宋_GB2312"/>
          <w:sz w:val="32"/>
          <w:szCs w:val="32"/>
        </w:rPr>
        <w:t>69.99</w:t>
      </w:r>
      <w:r>
        <w:rPr>
          <w:rFonts w:hint="eastAsia" w:eastAsia="仿宋_GB2312" w:cs="仿宋_GB2312"/>
          <w:sz w:val="32"/>
          <w:szCs w:val="32"/>
        </w:rPr>
        <w:t>亿元，可比增长</w:t>
      </w:r>
      <w:r>
        <w:rPr>
          <w:rFonts w:eastAsia="仿宋_GB2312"/>
          <w:sz w:val="32"/>
          <w:szCs w:val="32"/>
        </w:rPr>
        <w:t>9.2%</w:t>
      </w:r>
      <w:r>
        <w:rPr>
          <w:rFonts w:hint="eastAsia" w:eastAsia="仿宋_GB2312" w:cs="仿宋_GB2312"/>
          <w:sz w:val="32"/>
          <w:szCs w:val="32"/>
        </w:rPr>
        <w:t>。预计地区生产总值完成</w:t>
      </w:r>
      <w:r>
        <w:rPr>
          <w:rFonts w:eastAsia="仿宋_GB2312"/>
          <w:sz w:val="32"/>
          <w:szCs w:val="32"/>
        </w:rPr>
        <w:t>678</w:t>
      </w:r>
      <w:r>
        <w:rPr>
          <w:rFonts w:hint="eastAsia" w:eastAsia="仿宋_GB2312" w:cs="仿宋_GB2312"/>
          <w:sz w:val="32"/>
          <w:szCs w:val="32"/>
        </w:rPr>
        <w:t>亿元，同比增长</w:t>
      </w:r>
      <w:r>
        <w:rPr>
          <w:rFonts w:eastAsia="仿宋_GB2312"/>
          <w:sz w:val="32"/>
          <w:szCs w:val="32"/>
        </w:rPr>
        <w:t>8%</w:t>
      </w:r>
      <w:r>
        <w:rPr>
          <w:rFonts w:hint="eastAsia" w:eastAsia="仿宋_GB2312" w:cs="仿宋_GB2312"/>
          <w:sz w:val="32"/>
          <w:szCs w:val="32"/>
        </w:rPr>
        <w:t>以上；固定资产投资完成</w:t>
      </w:r>
      <w:r>
        <w:rPr>
          <w:rFonts w:eastAsia="仿宋_GB2312"/>
          <w:sz w:val="32"/>
          <w:szCs w:val="32"/>
        </w:rPr>
        <w:t>248.1</w:t>
      </w:r>
      <w:r>
        <w:rPr>
          <w:rFonts w:hint="eastAsia" w:eastAsia="仿宋_GB2312" w:cs="仿宋_GB2312"/>
          <w:sz w:val="32"/>
          <w:szCs w:val="32"/>
        </w:rPr>
        <w:t>亿元，同比增长</w:t>
      </w:r>
      <w:r>
        <w:rPr>
          <w:rFonts w:eastAsia="仿宋_GB2312"/>
          <w:sz w:val="32"/>
          <w:szCs w:val="32"/>
        </w:rPr>
        <w:t>13.1%</w:t>
      </w:r>
      <w:r>
        <w:rPr>
          <w:rFonts w:hint="eastAsia" w:eastAsia="仿宋_GB2312" w:cs="仿宋_GB2312"/>
          <w:sz w:val="32"/>
          <w:szCs w:val="32"/>
        </w:rPr>
        <w:t>；服务业增加值完</w:t>
      </w:r>
      <w:r>
        <w:rPr>
          <w:rFonts w:hint="eastAsia" w:eastAsia="仿宋_GB2312" w:cs="仿宋_GB2312"/>
          <w:spacing w:val="-20"/>
          <w:sz w:val="32"/>
          <w:szCs w:val="32"/>
        </w:rPr>
        <w:t>成</w:t>
      </w:r>
      <w:r>
        <w:rPr>
          <w:rFonts w:eastAsia="仿宋_GB2312"/>
          <w:sz w:val="32"/>
          <w:szCs w:val="32"/>
        </w:rPr>
        <w:t>572</w:t>
      </w:r>
      <w:r>
        <w:rPr>
          <w:rFonts w:hint="eastAsia" w:eastAsia="仿宋_GB2312" w:cs="仿宋_GB2312"/>
          <w:spacing w:val="-20"/>
          <w:sz w:val="32"/>
          <w:szCs w:val="32"/>
        </w:rPr>
        <w:t>亿</w:t>
      </w:r>
      <w:r>
        <w:rPr>
          <w:rFonts w:hint="eastAsia" w:eastAsia="仿宋_GB2312" w:cs="仿宋_GB2312"/>
          <w:sz w:val="32"/>
          <w:szCs w:val="32"/>
        </w:rPr>
        <w:t>元，同比增长</w:t>
      </w:r>
      <w:r>
        <w:rPr>
          <w:rFonts w:eastAsia="仿宋_GB2312"/>
          <w:sz w:val="32"/>
          <w:szCs w:val="32"/>
        </w:rPr>
        <w:t>8.5%</w:t>
      </w:r>
      <w:r>
        <w:rPr>
          <w:rFonts w:hint="eastAsia" w:eastAsia="仿宋_GB2312" w:cs="仿宋_GB2312"/>
          <w:sz w:val="32"/>
          <w:szCs w:val="32"/>
        </w:rPr>
        <w:t>以上；社会消费品零售总额完</w:t>
      </w:r>
      <w:r>
        <w:rPr>
          <w:rFonts w:hint="eastAsia" w:eastAsia="仿宋_GB2312" w:cs="仿宋_GB2312"/>
          <w:spacing w:val="-20"/>
          <w:sz w:val="32"/>
          <w:szCs w:val="32"/>
        </w:rPr>
        <w:t>成</w:t>
      </w:r>
      <w:r>
        <w:rPr>
          <w:rFonts w:eastAsia="仿宋_GB2312"/>
          <w:sz w:val="32"/>
          <w:szCs w:val="32"/>
        </w:rPr>
        <w:t>400</w:t>
      </w:r>
      <w:r>
        <w:rPr>
          <w:rFonts w:hint="eastAsia" w:eastAsia="仿宋_GB2312" w:cs="仿宋_GB2312"/>
          <w:spacing w:val="-20"/>
          <w:sz w:val="32"/>
          <w:szCs w:val="32"/>
        </w:rPr>
        <w:t>亿</w:t>
      </w:r>
      <w:r>
        <w:rPr>
          <w:rFonts w:hint="eastAsia" w:eastAsia="仿宋_GB2312" w:cs="仿宋_GB2312"/>
          <w:sz w:val="32"/>
          <w:szCs w:val="32"/>
        </w:rPr>
        <w:t>元以上，总量位居全市前列；规上工业增加值完成</w:t>
      </w:r>
      <w:r>
        <w:rPr>
          <w:rFonts w:eastAsia="仿宋_GB2312"/>
          <w:sz w:val="32"/>
          <w:szCs w:val="32"/>
        </w:rPr>
        <w:t>35.2</w:t>
      </w:r>
      <w:r>
        <w:rPr>
          <w:rFonts w:hint="eastAsia" w:eastAsia="仿宋_GB2312" w:cs="仿宋_GB2312"/>
          <w:sz w:val="32"/>
          <w:szCs w:val="32"/>
        </w:rPr>
        <w:t>亿元，同比增长</w:t>
      </w:r>
      <w:r>
        <w:rPr>
          <w:rFonts w:eastAsia="仿宋_GB2312"/>
          <w:sz w:val="32"/>
          <w:szCs w:val="32"/>
        </w:rPr>
        <w:t>6%</w:t>
      </w:r>
      <w:r>
        <w:rPr>
          <w:rFonts w:hint="eastAsia" w:eastAsia="仿宋_GB2312" w:cs="仿宋_GB2312"/>
          <w:sz w:val="32"/>
          <w:szCs w:val="32"/>
        </w:rPr>
        <w:t>；进出口总值完成</w:t>
      </w:r>
      <w:r>
        <w:rPr>
          <w:rFonts w:eastAsia="仿宋_GB2312"/>
          <w:sz w:val="32"/>
          <w:szCs w:val="32"/>
        </w:rPr>
        <w:t>40.4</w:t>
      </w:r>
      <w:r>
        <w:rPr>
          <w:rFonts w:hint="eastAsia" w:eastAsia="仿宋_GB2312" w:cs="仿宋_GB2312"/>
          <w:sz w:val="32"/>
          <w:szCs w:val="32"/>
        </w:rPr>
        <w:t>亿元，同比增长</w:t>
      </w:r>
      <w:r>
        <w:rPr>
          <w:rFonts w:eastAsia="仿宋_GB2312"/>
          <w:sz w:val="32"/>
          <w:szCs w:val="32"/>
        </w:rPr>
        <w:t>13.3%</w:t>
      </w:r>
      <w:r>
        <w:rPr>
          <w:rFonts w:hint="eastAsia" w:eastAsia="仿宋_GB2312" w:cs="仿宋_GB2312"/>
          <w:sz w:val="32"/>
          <w:szCs w:val="32"/>
        </w:rPr>
        <w:t>。主要指标均保持较快增长，经济质量实现整体跃升。</w:t>
      </w:r>
    </w:p>
    <w:p w14:paraId="0F21AC51">
      <w:pPr>
        <w:pStyle w:val="45"/>
        <w:spacing w:line="576" w:lineRule="exact"/>
        <w:ind w:firstLine="643"/>
        <w:rPr>
          <w:rFonts w:eastAsia="仿宋_GB2312"/>
          <w:sz w:val="32"/>
          <w:szCs w:val="32"/>
        </w:rPr>
      </w:pPr>
      <w:r>
        <w:rPr>
          <w:rFonts w:hint="eastAsia" w:eastAsia="楷体_GB2312" w:cs="楷体_GB2312"/>
          <w:b/>
          <w:bCs/>
          <w:sz w:val="32"/>
          <w:szCs w:val="32"/>
        </w:rPr>
        <w:t>项目建设攻坚突破。</w:t>
      </w:r>
      <w:r>
        <w:rPr>
          <w:rFonts w:hint="eastAsia" w:eastAsia="仿宋_GB2312" w:cs="仿宋_GB2312"/>
          <w:sz w:val="32"/>
          <w:szCs w:val="32"/>
        </w:rPr>
        <w:t>强力实施项目建设年活动，建立“一小组、六专班、两包联”项目推进机制</w:t>
      </w:r>
      <w:r>
        <w:rPr>
          <w:rFonts w:eastAsia="仿宋_GB2312"/>
          <w:sz w:val="32"/>
          <w:szCs w:val="32"/>
          <w:shd w:val="clear" w:color="auto" w:fill="FFFFFF"/>
          <w:vertAlign w:val="superscript"/>
        </w:rPr>
        <w:t>[1]</w:t>
      </w:r>
      <w:r>
        <w:rPr>
          <w:rFonts w:hint="eastAsia" w:eastAsia="仿宋_GB2312" w:cs="仿宋_GB2312"/>
          <w:sz w:val="32"/>
          <w:szCs w:val="32"/>
        </w:rPr>
        <w:t>，全年累计实施项目</w:t>
      </w:r>
      <w:r>
        <w:rPr>
          <w:rFonts w:eastAsia="仿宋_GB2312"/>
          <w:sz w:val="32"/>
          <w:szCs w:val="32"/>
        </w:rPr>
        <w:t>246</w:t>
      </w:r>
      <w:r>
        <w:rPr>
          <w:rFonts w:hint="eastAsia" w:eastAsia="仿宋_GB2312" w:cs="仿宋_GB2312"/>
          <w:sz w:val="32"/>
          <w:szCs w:val="32"/>
        </w:rPr>
        <w:t>个，总投资</w:t>
      </w:r>
      <w:r>
        <w:rPr>
          <w:rFonts w:eastAsia="仿宋_GB2312"/>
          <w:sz w:val="32"/>
          <w:szCs w:val="32"/>
        </w:rPr>
        <w:t>2025</w:t>
      </w:r>
      <w:r>
        <w:rPr>
          <w:rFonts w:hint="eastAsia" w:eastAsia="仿宋_GB2312" w:cs="仿宋_GB2312"/>
          <w:sz w:val="32"/>
          <w:szCs w:val="32"/>
        </w:rPr>
        <w:t>亿元，完成投资</w:t>
      </w:r>
      <w:r>
        <w:rPr>
          <w:rFonts w:eastAsia="仿宋_GB2312"/>
          <w:sz w:val="32"/>
          <w:szCs w:val="32"/>
        </w:rPr>
        <w:t>248</w:t>
      </w:r>
      <w:r>
        <w:rPr>
          <w:rFonts w:hint="eastAsia" w:eastAsia="仿宋_GB2312" w:cs="仿宋_GB2312"/>
          <w:sz w:val="32"/>
          <w:szCs w:val="32"/>
        </w:rPr>
        <w:t>亿元。</w:t>
      </w:r>
      <w:r>
        <w:rPr>
          <w:rFonts w:eastAsia="仿宋_GB2312"/>
          <w:sz w:val="32"/>
          <w:szCs w:val="32"/>
        </w:rPr>
        <w:t>16</w:t>
      </w:r>
      <w:r>
        <w:rPr>
          <w:rFonts w:hint="eastAsia" w:eastAsia="仿宋_GB2312" w:cs="仿宋_GB2312"/>
          <w:sz w:val="32"/>
          <w:szCs w:val="32"/>
        </w:rPr>
        <w:t>个省市重点项目完成投资</w:t>
      </w:r>
      <w:r>
        <w:rPr>
          <w:rFonts w:eastAsia="仿宋_GB2312"/>
          <w:sz w:val="32"/>
          <w:szCs w:val="32"/>
        </w:rPr>
        <w:t>68</w:t>
      </w:r>
      <w:r>
        <w:rPr>
          <w:rFonts w:hint="eastAsia" w:eastAsia="仿宋_GB2312" w:cs="仿宋_GB2312"/>
          <w:sz w:val="32"/>
          <w:szCs w:val="32"/>
        </w:rPr>
        <w:t>亿元，超年度计划</w:t>
      </w:r>
      <w:r>
        <w:rPr>
          <w:rFonts w:eastAsia="仿宋_GB2312"/>
          <w:sz w:val="32"/>
          <w:szCs w:val="32"/>
        </w:rPr>
        <w:t>12.7</w:t>
      </w:r>
      <w:r>
        <w:rPr>
          <w:rFonts w:hint="eastAsia" w:eastAsia="仿宋_GB2312" w:cs="仿宋_GB2312"/>
          <w:sz w:val="32"/>
          <w:szCs w:val="32"/>
        </w:rPr>
        <w:t>亿元。列入城市更新项目</w:t>
      </w:r>
      <w:r>
        <w:rPr>
          <w:rFonts w:eastAsia="仿宋_GB2312"/>
          <w:sz w:val="32"/>
          <w:szCs w:val="32"/>
        </w:rPr>
        <w:t>23</w:t>
      </w:r>
      <w:r>
        <w:rPr>
          <w:rFonts w:hint="eastAsia" w:eastAsia="仿宋_GB2312" w:cs="仿宋_GB2312"/>
          <w:sz w:val="32"/>
          <w:szCs w:val="32"/>
        </w:rPr>
        <w:t>个，数量位居市内五区首位，完成投资</w:t>
      </w:r>
      <w:r>
        <w:rPr>
          <w:rFonts w:eastAsia="仿宋_GB2312"/>
          <w:sz w:val="32"/>
          <w:szCs w:val="32"/>
        </w:rPr>
        <w:t>26</w:t>
      </w:r>
      <w:r>
        <w:rPr>
          <w:rFonts w:hint="eastAsia" w:eastAsia="仿宋_GB2312" w:cs="仿宋_GB2312"/>
          <w:sz w:val="32"/>
          <w:szCs w:val="32"/>
        </w:rPr>
        <w:t>亿元。实施集中开工项目</w:t>
      </w:r>
      <w:r>
        <w:rPr>
          <w:sz w:val="32"/>
          <w:szCs w:val="32"/>
          <w:shd w:val="clear" w:color="auto" w:fill="FFFFFF"/>
        </w:rPr>
        <w:t>34</w:t>
      </w:r>
      <w:r>
        <w:rPr>
          <w:rFonts w:hint="eastAsia" w:eastAsia="仿宋_GB2312" w:cs="仿宋_GB2312"/>
          <w:sz w:val="32"/>
          <w:szCs w:val="32"/>
        </w:rPr>
        <w:t>个，亿元以上产业类项目占比</w:t>
      </w:r>
      <w:r>
        <w:rPr>
          <w:rFonts w:eastAsia="仿宋_GB2312"/>
          <w:sz w:val="32"/>
          <w:szCs w:val="32"/>
        </w:rPr>
        <w:t>70.6%</w:t>
      </w:r>
      <w:r>
        <w:rPr>
          <w:rFonts w:hint="eastAsia" w:eastAsia="仿宋_GB2312" w:cs="仿宋_GB2312"/>
          <w:sz w:val="32"/>
          <w:szCs w:val="32"/>
        </w:rPr>
        <w:t>，累计完成投资</w:t>
      </w:r>
      <w:r>
        <w:rPr>
          <w:rFonts w:eastAsia="仿宋_GB2312"/>
          <w:sz w:val="32"/>
          <w:szCs w:val="32"/>
        </w:rPr>
        <w:t>82.6</w:t>
      </w:r>
      <w:r>
        <w:rPr>
          <w:rFonts w:hint="eastAsia" w:eastAsia="仿宋_GB2312" w:cs="仿宋_GB2312"/>
          <w:sz w:val="32"/>
          <w:szCs w:val="32"/>
        </w:rPr>
        <w:t>亿元，投资完成率</w:t>
      </w:r>
      <w:r>
        <w:rPr>
          <w:rFonts w:eastAsia="仿宋_GB2312"/>
          <w:sz w:val="32"/>
          <w:szCs w:val="32"/>
        </w:rPr>
        <w:t>128.6%</w:t>
      </w:r>
      <w:r>
        <w:rPr>
          <w:rFonts w:hint="eastAsia" w:eastAsia="仿宋_GB2312" w:cs="仿宋_GB2312"/>
          <w:sz w:val="32"/>
          <w:szCs w:val="32"/>
        </w:rPr>
        <w:t>。</w:t>
      </w:r>
    </w:p>
    <w:p w14:paraId="19C47E67">
      <w:pPr>
        <w:pStyle w:val="13"/>
        <w:spacing w:line="576" w:lineRule="exact"/>
        <w:ind w:firstLine="643" w:firstLineChars="200"/>
        <w:jc w:val="both"/>
        <w:rPr>
          <w:rFonts w:ascii="Times New Roman" w:hAnsi="Times New Roman" w:eastAsia="楷体_GB2312" w:cs="Times New Roman"/>
        </w:rPr>
      </w:pPr>
      <w:r>
        <w:rPr>
          <w:rFonts w:hint="eastAsia" w:ascii="Times New Roman" w:hAnsi="Times New Roman" w:eastAsia="楷体_GB2312" w:cs="楷体_GB2312"/>
        </w:rPr>
        <w:t>招商引资成效显著。</w:t>
      </w:r>
      <w:r>
        <w:rPr>
          <w:rFonts w:hint="eastAsia" w:ascii="Times New Roman" w:hAnsi="Times New Roman" w:eastAsia="仿宋_GB2312" w:cs="仿宋_GB2312"/>
          <w:b w:val="0"/>
          <w:bCs w:val="0"/>
        </w:rPr>
        <w:t>制定出台</w:t>
      </w:r>
      <w:r>
        <w:rPr>
          <w:rFonts w:hint="eastAsia" w:ascii="仿宋_GB2312" w:hAnsi="仿宋_GB2312" w:eastAsia="仿宋_GB2312" w:cs="仿宋_GB2312"/>
          <w:b w:val="0"/>
          <w:bCs w:val="0"/>
        </w:rPr>
        <w:t>《招商引资奖励办法》，</w:t>
      </w:r>
      <w:r>
        <w:rPr>
          <w:rFonts w:hint="eastAsia" w:ascii="Times New Roman" w:hAnsi="Times New Roman" w:eastAsia="仿宋_GB2312" w:cs="仿宋_GB2312"/>
          <w:b w:val="0"/>
          <w:bCs w:val="0"/>
        </w:rPr>
        <w:t>组建“六支撑”产业招商小组和服务专班，</w:t>
      </w:r>
      <w:r>
        <w:rPr>
          <w:rFonts w:hint="eastAsia" w:ascii="仿宋_GB2312" w:hAnsi="仿宋_GB2312" w:eastAsia="仿宋_GB2312" w:cs="仿宋_GB2312"/>
          <w:b w:val="0"/>
          <w:bCs w:val="0"/>
        </w:rPr>
        <w:t>选</w:t>
      </w:r>
      <w:r>
        <w:rPr>
          <w:rFonts w:hint="eastAsia" w:ascii="Times New Roman" w:hAnsi="Times New Roman" w:eastAsia="仿宋_GB2312" w:cs="仿宋_GB2312"/>
          <w:b w:val="0"/>
          <w:bCs w:val="0"/>
        </w:rPr>
        <w:t>派</w:t>
      </w:r>
      <w:r>
        <w:rPr>
          <w:rFonts w:ascii="Times New Roman" w:hAnsi="Times New Roman" w:eastAsia="仿宋_GB2312" w:cs="Times New Roman"/>
          <w:b w:val="0"/>
          <w:bCs w:val="0"/>
        </w:rPr>
        <w:t>8</w:t>
      </w:r>
      <w:r>
        <w:rPr>
          <w:rFonts w:hint="eastAsia" w:ascii="Times New Roman" w:hAnsi="Times New Roman" w:eastAsia="仿宋_GB2312" w:cs="仿宋_GB2312"/>
          <w:b w:val="0"/>
          <w:bCs w:val="0"/>
        </w:rPr>
        <w:t>名</w:t>
      </w:r>
      <w:r>
        <w:rPr>
          <w:rFonts w:hint="eastAsia" w:ascii="仿宋_GB2312" w:hAnsi="仿宋_GB2312" w:eastAsia="仿宋_GB2312" w:cs="仿宋_GB2312"/>
          <w:b w:val="0"/>
          <w:bCs w:val="0"/>
        </w:rPr>
        <w:t>干部开展驻点招商</w:t>
      </w:r>
      <w:r>
        <w:rPr>
          <w:rFonts w:hint="eastAsia" w:ascii="Times New Roman" w:hAnsi="Times New Roman" w:eastAsia="仿宋_GB2312" w:cs="仿宋_GB2312"/>
          <w:b w:val="0"/>
          <w:bCs w:val="0"/>
        </w:rPr>
        <w:t>。</w:t>
      </w:r>
      <w:r>
        <w:rPr>
          <w:rFonts w:hint="eastAsia" w:ascii="Calibri" w:hAnsi="Calibri" w:eastAsia="仿宋_GB2312" w:cs="仿宋_GB2312"/>
          <w:b w:val="0"/>
          <w:bCs w:val="0"/>
        </w:rPr>
        <w:t>持续加大精品楼宇推介，</w:t>
      </w:r>
      <w:r>
        <w:rPr>
          <w:rFonts w:hint="eastAsia" w:ascii="Times New Roman" w:hAnsi="Times New Roman" w:eastAsia="仿宋_GB2312" w:cs="仿宋_GB2312"/>
          <w:b w:val="0"/>
          <w:bCs w:val="0"/>
        </w:rPr>
        <w:t>全区税收亿元楼宇达到</w:t>
      </w:r>
      <w:r>
        <w:rPr>
          <w:rFonts w:ascii="Times New Roman" w:hAnsi="Times New Roman" w:eastAsia="仿宋_GB2312" w:cs="Times New Roman"/>
          <w:b w:val="0"/>
          <w:bCs w:val="0"/>
        </w:rPr>
        <w:t>9</w:t>
      </w:r>
      <w:r>
        <w:rPr>
          <w:rFonts w:hint="eastAsia" w:ascii="Times New Roman" w:hAnsi="Times New Roman" w:eastAsia="仿宋_GB2312" w:cs="仿宋_GB2312"/>
          <w:b w:val="0"/>
          <w:bCs w:val="0"/>
        </w:rPr>
        <w:t>栋，千万元楼宇达到</w:t>
      </w:r>
      <w:r>
        <w:rPr>
          <w:rFonts w:ascii="Times New Roman" w:hAnsi="Times New Roman" w:eastAsia="仿宋_GB2312" w:cs="Times New Roman"/>
          <w:b w:val="0"/>
          <w:bCs w:val="0"/>
        </w:rPr>
        <w:t>26</w:t>
      </w:r>
      <w:r>
        <w:rPr>
          <w:rFonts w:hint="eastAsia" w:ascii="Times New Roman" w:hAnsi="Times New Roman" w:eastAsia="仿宋_GB2312" w:cs="仿宋_GB2312"/>
          <w:b w:val="0"/>
          <w:bCs w:val="0"/>
        </w:rPr>
        <w:t>栋。全年累计签约项目</w:t>
      </w:r>
      <w:r>
        <w:rPr>
          <w:rFonts w:ascii="Times New Roman" w:hAnsi="Times New Roman" w:eastAsia="仿宋_GB2312" w:cs="Times New Roman"/>
          <w:b w:val="0"/>
          <w:bCs w:val="0"/>
        </w:rPr>
        <w:t>126</w:t>
      </w:r>
      <w:r>
        <w:rPr>
          <w:rFonts w:hint="eastAsia" w:ascii="Times New Roman" w:hAnsi="Times New Roman" w:eastAsia="仿宋_GB2312" w:cs="仿宋_GB2312"/>
          <w:b w:val="0"/>
          <w:bCs w:val="0"/>
        </w:rPr>
        <w:t>个，总投资</w:t>
      </w:r>
      <w:r>
        <w:rPr>
          <w:rFonts w:ascii="Times New Roman" w:hAnsi="Times New Roman" w:eastAsia="仿宋_GB2312" w:cs="Times New Roman"/>
          <w:b w:val="0"/>
          <w:bCs w:val="0"/>
        </w:rPr>
        <w:t>223.7</w:t>
      </w:r>
      <w:r>
        <w:rPr>
          <w:rFonts w:hint="eastAsia" w:ascii="Times New Roman" w:hAnsi="Times New Roman" w:eastAsia="仿宋_GB2312" w:cs="仿宋_GB2312"/>
          <w:b w:val="0"/>
          <w:bCs w:val="0"/>
        </w:rPr>
        <w:t>亿元。中交三公局六公司</w:t>
      </w:r>
      <w:r>
        <w:rPr>
          <w:rFonts w:hint="eastAsia" w:ascii="Times New Roman" w:hAnsi="Times New Roman" w:eastAsia="仿宋_GB2312" w:cs="仿宋_GB2312"/>
          <w:b w:val="0"/>
          <w:bCs w:val="0"/>
          <w:spacing w:val="-20"/>
        </w:rPr>
        <w:t>等</w:t>
      </w:r>
      <w:r>
        <w:rPr>
          <w:rFonts w:ascii="Times New Roman" w:hAnsi="Times New Roman" w:eastAsia="仿宋_GB2312" w:cs="Times New Roman"/>
          <w:b w:val="0"/>
          <w:bCs w:val="0"/>
        </w:rPr>
        <w:t>13</w:t>
      </w:r>
      <w:r>
        <w:rPr>
          <w:rFonts w:hint="eastAsia" w:ascii="Times New Roman" w:hAnsi="Times New Roman" w:eastAsia="仿宋_GB2312" w:cs="仿宋_GB2312"/>
          <w:b w:val="0"/>
          <w:bCs w:val="0"/>
          <w:spacing w:val="-20"/>
        </w:rPr>
        <w:t>个</w:t>
      </w:r>
      <w:r>
        <w:rPr>
          <w:rFonts w:hint="eastAsia" w:ascii="Times New Roman" w:hAnsi="Times New Roman" w:eastAsia="仿宋_GB2312" w:cs="仿宋_GB2312"/>
          <w:b w:val="0"/>
          <w:bCs w:val="0"/>
        </w:rPr>
        <w:t>总部类企业、云山科技产业园等</w:t>
      </w:r>
      <w:r>
        <w:rPr>
          <w:rFonts w:ascii="Times New Roman" w:hAnsi="Times New Roman" w:eastAsia="仿宋_GB2312" w:cs="Times New Roman"/>
          <w:b w:val="0"/>
          <w:bCs w:val="0"/>
        </w:rPr>
        <w:t>9</w:t>
      </w:r>
      <w:r>
        <w:rPr>
          <w:rFonts w:hint="eastAsia" w:ascii="Times New Roman" w:hAnsi="Times New Roman" w:eastAsia="仿宋_GB2312" w:cs="仿宋_GB2312"/>
          <w:b w:val="0"/>
          <w:bCs w:val="0"/>
        </w:rPr>
        <w:t>个产业类项目成功签约落地。</w:t>
      </w:r>
    </w:p>
    <w:p w14:paraId="50A97FE8">
      <w:pPr>
        <w:pStyle w:val="45"/>
        <w:spacing w:line="576" w:lineRule="exact"/>
        <w:ind w:firstLine="643"/>
        <w:rPr>
          <w:rFonts w:eastAsia="仿宋_GB2312"/>
          <w:sz w:val="32"/>
          <w:szCs w:val="32"/>
        </w:rPr>
      </w:pPr>
      <w:r>
        <w:rPr>
          <w:rFonts w:hint="eastAsia" w:eastAsia="楷体_GB2312" w:cs="楷体_GB2312"/>
          <w:b/>
          <w:bCs/>
          <w:sz w:val="32"/>
          <w:szCs w:val="32"/>
        </w:rPr>
        <w:t>消费活力持续释放。</w:t>
      </w:r>
      <w:r>
        <w:rPr>
          <w:rFonts w:hint="eastAsia" w:eastAsia="仿宋_GB2312" w:cs="仿宋_GB2312"/>
          <w:sz w:val="32"/>
          <w:szCs w:val="32"/>
        </w:rPr>
        <w:t>新增限上企业</w:t>
      </w:r>
      <w:r>
        <w:rPr>
          <w:rFonts w:eastAsia="仿宋_GB2312"/>
          <w:sz w:val="32"/>
          <w:szCs w:val="32"/>
        </w:rPr>
        <w:t>106</w:t>
      </w:r>
      <w:r>
        <w:rPr>
          <w:rFonts w:hint="eastAsia" w:eastAsia="仿宋_GB2312" w:cs="仿宋_GB2312"/>
          <w:sz w:val="32"/>
          <w:szCs w:val="32"/>
        </w:rPr>
        <w:t>家，总量达</w:t>
      </w:r>
      <w:r>
        <w:rPr>
          <w:rFonts w:hint="eastAsia" w:eastAsia="仿宋_GB2312" w:cs="仿宋_GB2312"/>
          <w:spacing w:val="-20"/>
          <w:sz w:val="32"/>
          <w:szCs w:val="32"/>
        </w:rPr>
        <w:t>到</w:t>
      </w:r>
      <w:r>
        <w:rPr>
          <w:rFonts w:eastAsia="仿宋_GB2312"/>
          <w:sz w:val="32"/>
          <w:szCs w:val="32"/>
        </w:rPr>
        <w:t>309</w:t>
      </w:r>
      <w:r>
        <w:rPr>
          <w:rFonts w:hint="eastAsia" w:eastAsia="仿宋_GB2312" w:cs="仿宋_GB2312"/>
          <w:spacing w:val="-20"/>
          <w:sz w:val="32"/>
          <w:szCs w:val="32"/>
        </w:rPr>
        <w:t>家</w:t>
      </w:r>
      <w:r>
        <w:rPr>
          <w:rFonts w:hint="eastAsia" w:eastAsia="仿宋_GB2312" w:cs="仿宋_GB2312"/>
          <w:sz w:val="32"/>
          <w:szCs w:val="32"/>
        </w:rPr>
        <w:t>。两条特色商业街提档升级，庄里街被评为省级商业示范街，</w:t>
      </w:r>
      <w:r>
        <w:rPr>
          <w:rFonts w:eastAsia="仿宋_GB2312"/>
          <w:sz w:val="32"/>
          <w:szCs w:val="32"/>
        </w:rPr>
        <w:t>26</w:t>
      </w:r>
      <w:r>
        <w:rPr>
          <w:rFonts w:hint="eastAsia" w:eastAsia="仿宋_GB2312" w:cs="仿宋_GB2312"/>
          <w:sz w:val="32"/>
          <w:szCs w:val="32"/>
        </w:rPr>
        <w:t>家特色品牌、网红品牌竞相入驻。持续开展各类促销活动，累计发放消费</w:t>
      </w:r>
      <w:r>
        <w:rPr>
          <w:rFonts w:hint="eastAsia" w:eastAsia="仿宋_GB2312" w:cs="仿宋_GB2312"/>
          <w:spacing w:val="-20"/>
          <w:sz w:val="32"/>
          <w:szCs w:val="32"/>
        </w:rPr>
        <w:t>券</w:t>
      </w:r>
      <w:r>
        <w:rPr>
          <w:rFonts w:eastAsia="仿宋_GB2312"/>
          <w:sz w:val="32"/>
          <w:szCs w:val="32"/>
        </w:rPr>
        <w:t>1400</w:t>
      </w:r>
      <w:r>
        <w:rPr>
          <w:rFonts w:hint="eastAsia" w:eastAsia="仿宋_GB2312" w:cs="仿宋_GB2312"/>
          <w:spacing w:val="-20"/>
          <w:sz w:val="32"/>
          <w:szCs w:val="32"/>
        </w:rPr>
        <w:t>万</w:t>
      </w:r>
      <w:r>
        <w:rPr>
          <w:rFonts w:hint="eastAsia" w:eastAsia="仿宋_GB2312" w:cs="仿宋_GB2312"/>
          <w:sz w:val="32"/>
          <w:szCs w:val="32"/>
        </w:rPr>
        <w:t>元，拉动零售额近</w:t>
      </w:r>
      <w:r>
        <w:rPr>
          <w:rFonts w:eastAsia="仿宋_GB2312"/>
          <w:sz w:val="32"/>
          <w:szCs w:val="32"/>
        </w:rPr>
        <w:t>4</w:t>
      </w:r>
      <w:r>
        <w:rPr>
          <w:rFonts w:hint="eastAsia" w:eastAsia="仿宋_GB2312" w:cs="仿宋_GB2312"/>
          <w:sz w:val="32"/>
          <w:szCs w:val="32"/>
        </w:rPr>
        <w:t>亿元。夜经济持续繁荣壮大，夜间营业额占比达到</w:t>
      </w:r>
      <w:r>
        <w:rPr>
          <w:rFonts w:eastAsia="仿宋_GB2312"/>
          <w:sz w:val="32"/>
          <w:szCs w:val="32"/>
        </w:rPr>
        <w:t>37%</w:t>
      </w:r>
      <w:r>
        <w:rPr>
          <w:rFonts w:hint="eastAsia" w:eastAsia="仿宋_GB2312" w:cs="仿宋_GB2312"/>
          <w:sz w:val="32"/>
          <w:szCs w:val="32"/>
        </w:rPr>
        <w:t>以上。成功引入“首店”</w:t>
      </w:r>
      <w:r>
        <w:rPr>
          <w:rFonts w:eastAsia="仿宋_GB2312"/>
          <w:sz w:val="32"/>
          <w:szCs w:val="32"/>
        </w:rPr>
        <w:t>8</w:t>
      </w:r>
      <w:r>
        <w:rPr>
          <w:rFonts w:hint="eastAsia" w:eastAsia="仿宋_GB2312" w:cs="仿宋_GB2312"/>
          <w:sz w:val="32"/>
          <w:szCs w:val="32"/>
        </w:rPr>
        <w:t>家，消费品牌引领度持续提升。</w:t>
      </w:r>
      <w:r>
        <w:rPr>
          <w:rFonts w:eastAsia="仿宋_GB2312"/>
          <w:sz w:val="32"/>
          <w:szCs w:val="32"/>
        </w:rPr>
        <w:t xml:space="preserve"> </w:t>
      </w:r>
    </w:p>
    <w:p w14:paraId="71133C03">
      <w:pPr>
        <w:pStyle w:val="13"/>
        <w:spacing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FF0000"/>
        </w:rPr>
      </w:pPr>
      <w:r>
        <w:rPr>
          <w:rFonts w:hint="eastAsia" w:ascii="黑体" w:hAnsi="黑体" w:eastAsia="黑体" w:cs="黑体"/>
          <w:b w:val="0"/>
          <w:bCs w:val="0"/>
        </w:rPr>
        <w:t>一年来，我们坚持把改革创新作为关键之举，不遗余力优环境、添活力、增后劲，对标赶超、争先竞跑的发展动能更加强劲。</w:t>
      </w:r>
    </w:p>
    <w:p w14:paraId="13BBD43F">
      <w:pPr>
        <w:pStyle w:val="13"/>
        <w:spacing w:line="576" w:lineRule="exact"/>
        <w:ind w:firstLine="643" w:firstLineChars="200"/>
        <w:jc w:val="both"/>
        <w:rPr>
          <w:rFonts w:ascii="Times New Roman" w:hAnsi="Times New Roman" w:eastAsia="仿宋_GB2312" w:cs="Times New Roman"/>
          <w:b w:val="0"/>
          <w:bCs w:val="0"/>
        </w:rPr>
      </w:pPr>
      <w:r>
        <w:rPr>
          <w:rFonts w:hint="eastAsia" w:ascii="楷体_GB2312" w:hAnsi="楷体_GB2312" w:eastAsia="楷体_GB2312" w:cs="楷体_GB2312"/>
        </w:rPr>
        <w:t>行政审批提速提效。</w:t>
      </w:r>
      <w:r>
        <w:rPr>
          <w:rFonts w:hint="eastAsia" w:ascii="Times New Roman" w:hAnsi="Times New Roman" w:eastAsia="仿宋_GB2312" w:cs="仿宋_GB2312"/>
          <w:b w:val="0"/>
          <w:bCs w:val="0"/>
        </w:rPr>
        <w:t>一体化政务服务平台实现全覆盖，街镇、社区两级全部实现网上受理、网上办理。“数字审核员</w:t>
      </w:r>
      <w:r>
        <w:rPr>
          <w:rFonts w:ascii="仿宋_GB2312" w:hAnsi="仿宋_GB2312" w:eastAsia="仿宋_GB2312" w:cs="仿宋_GB2312"/>
          <w:b w:val="0"/>
          <w:bCs w:val="0"/>
        </w:rPr>
        <w:t>-</w:t>
      </w:r>
      <w:r>
        <w:rPr>
          <w:rFonts w:hint="eastAsia" w:ascii="Times New Roman" w:hAnsi="Times New Roman" w:eastAsia="仿宋_GB2312" w:cs="仿宋_GB2312"/>
          <w:b w:val="0"/>
          <w:bCs w:val="0"/>
        </w:rPr>
        <w:t>长安智能审批系统”投入使用，企业设立审批时限压缩</w:t>
      </w:r>
      <w:r>
        <w:rPr>
          <w:rFonts w:ascii="Times New Roman" w:hAnsi="Times New Roman" w:eastAsia="仿宋_GB2312" w:cs="Times New Roman"/>
          <w:b w:val="0"/>
          <w:bCs w:val="0"/>
        </w:rPr>
        <w:t>80%</w:t>
      </w:r>
      <w:r>
        <w:rPr>
          <w:rFonts w:hint="eastAsia" w:ascii="Times New Roman" w:hAnsi="Times New Roman" w:eastAsia="仿宋_GB2312" w:cs="仿宋_GB2312"/>
          <w:b w:val="0"/>
          <w:bCs w:val="0"/>
        </w:rPr>
        <w:t>以上。政府投资类审批、企业投资备案类审批分别压缩至</w:t>
      </w:r>
      <w:r>
        <w:rPr>
          <w:rFonts w:ascii="Times New Roman" w:hAnsi="Times New Roman" w:eastAsia="仿宋_GB2312" w:cs="Times New Roman"/>
          <w:b w:val="0"/>
          <w:bCs w:val="0"/>
        </w:rPr>
        <w:t>5</w:t>
      </w:r>
      <w:r>
        <w:rPr>
          <w:rFonts w:hint="eastAsia" w:ascii="Times New Roman" w:hAnsi="Times New Roman" w:eastAsia="仿宋_GB2312" w:cs="仿宋_GB2312"/>
          <w:b w:val="0"/>
          <w:bCs w:val="0"/>
        </w:rPr>
        <w:t>个和</w:t>
      </w:r>
      <w:r>
        <w:rPr>
          <w:rFonts w:ascii="Times New Roman" w:hAnsi="Times New Roman" w:eastAsia="仿宋_GB2312" w:cs="Times New Roman"/>
          <w:b w:val="0"/>
          <w:bCs w:val="0"/>
        </w:rPr>
        <w:t>1</w:t>
      </w:r>
      <w:r>
        <w:rPr>
          <w:rFonts w:hint="eastAsia" w:ascii="Times New Roman" w:hAnsi="Times New Roman" w:eastAsia="仿宋_GB2312" w:cs="仿宋_GB2312"/>
          <w:b w:val="0"/>
          <w:bCs w:val="0"/>
        </w:rPr>
        <w:t>个工作日，政务服务综合好评率达到</w:t>
      </w:r>
      <w:r>
        <w:rPr>
          <w:rFonts w:ascii="Times New Roman" w:hAnsi="Times New Roman" w:eastAsia="仿宋_GB2312" w:cs="Times New Roman"/>
          <w:b w:val="0"/>
          <w:bCs w:val="0"/>
        </w:rPr>
        <w:t>98.4%</w:t>
      </w:r>
      <w:r>
        <w:rPr>
          <w:rFonts w:hint="eastAsia" w:ascii="Times New Roman" w:hAnsi="Times New Roman" w:eastAsia="仿宋_GB2312" w:cs="仿宋_GB2312"/>
          <w:b w:val="0"/>
          <w:bCs w:val="0"/>
        </w:rPr>
        <w:t>。“局长代办”服务被评为石家庄市志愿服务创新项目。全区新增市场主体</w:t>
      </w:r>
      <w:r>
        <w:rPr>
          <w:rFonts w:ascii="Times New Roman" w:hAnsi="Times New Roman" w:eastAsia="仿宋_GB2312" w:cs="Times New Roman"/>
          <w:b w:val="0"/>
          <w:bCs w:val="0"/>
        </w:rPr>
        <w:t>2.2</w:t>
      </w:r>
      <w:r>
        <w:rPr>
          <w:rFonts w:hint="eastAsia" w:ascii="Times New Roman" w:hAnsi="Times New Roman" w:eastAsia="仿宋_GB2312" w:cs="仿宋_GB2312"/>
          <w:b w:val="0"/>
          <w:bCs w:val="0"/>
        </w:rPr>
        <w:t>万户，总量达到</w:t>
      </w:r>
      <w:r>
        <w:rPr>
          <w:rFonts w:ascii="Times New Roman" w:hAnsi="Times New Roman" w:eastAsia="仿宋_GB2312" w:cs="Times New Roman"/>
          <w:b w:val="0"/>
          <w:bCs w:val="0"/>
        </w:rPr>
        <w:t>15</w:t>
      </w:r>
      <w:r>
        <w:rPr>
          <w:rFonts w:hint="eastAsia" w:ascii="Times New Roman" w:hAnsi="Times New Roman" w:eastAsia="仿宋_GB2312" w:cs="仿宋_GB2312"/>
          <w:b w:val="0"/>
          <w:bCs w:val="0"/>
        </w:rPr>
        <w:t>万户，继续保持全市首位。</w:t>
      </w:r>
    </w:p>
    <w:p w14:paraId="2F1D0F62">
      <w:pPr>
        <w:spacing w:line="576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Style w:val="26"/>
          <w:rFonts w:hint="eastAsia" w:ascii="Times New Roman" w:hAnsi="Times New Roman" w:eastAsia="楷体_GB2312" w:cs="楷体_GB2312"/>
          <w:kern w:val="0"/>
          <w:sz w:val="32"/>
          <w:szCs w:val="32"/>
        </w:rPr>
        <w:t>营商环境持续优化。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推行“政企服务连心卡”制度，健全“</w:t>
      </w:r>
      <w:r>
        <w:rPr>
          <w:rFonts w:ascii="Times New Roman" w:hAnsi="Times New Roman" w:eastAsia="仿宋_GB2312" w:cs="Times New Roman"/>
          <w:sz w:val="32"/>
          <w:szCs w:val="32"/>
        </w:rPr>
        <w:t>4+1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”责任体系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  <w:vertAlign w:val="superscript"/>
        </w:rPr>
        <w:t>[2]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26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名区级领导、</w:t>
      </w:r>
      <w:r>
        <w:rPr>
          <w:rFonts w:ascii="Times New Roman" w:hAnsi="Times New Roman" w:eastAsia="仿宋_GB2312" w:cs="Times New Roman"/>
          <w:sz w:val="32"/>
          <w:szCs w:val="32"/>
        </w:rPr>
        <w:t>89</w:t>
      </w:r>
      <w:r>
        <w:rPr>
          <w:rFonts w:hint="eastAsia" w:ascii="Times New Roman" w:hAnsi="Times New Roman" w:eastAsia="仿宋_GB2312" w:cs="仿宋_GB2312"/>
          <w:sz w:val="32"/>
          <w:szCs w:val="32"/>
        </w:rPr>
        <w:t>名科级干部包联帮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扶</w:t>
      </w:r>
      <w:r>
        <w:rPr>
          <w:rFonts w:ascii="Times New Roman" w:hAnsi="Times New Roman" w:eastAsia="仿宋_GB2312" w:cs="Times New Roman"/>
          <w:spacing w:val="-20"/>
          <w:sz w:val="32"/>
          <w:szCs w:val="32"/>
        </w:rPr>
        <w:t>325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家</w:t>
      </w:r>
      <w:r>
        <w:rPr>
          <w:rFonts w:hint="eastAsia" w:ascii="Times New Roman" w:hAnsi="Times New Roman" w:eastAsia="仿宋_GB2312" w:cs="仿宋_GB2312"/>
          <w:sz w:val="32"/>
          <w:szCs w:val="32"/>
        </w:rPr>
        <w:t>重点企业，</w:t>
      </w:r>
      <w:r>
        <w:rPr>
          <w:rFonts w:ascii="Times New Roman" w:hAnsi="Times New Roman" w:eastAsia="仿宋_GB2312" w:cs="Times New Roman"/>
          <w:sz w:val="32"/>
          <w:szCs w:val="32"/>
        </w:rPr>
        <w:t>2700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名干部全方位走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访</w:t>
      </w:r>
      <w:r>
        <w:rPr>
          <w:rFonts w:ascii="Times New Roman" w:hAnsi="Times New Roman" w:eastAsia="仿宋_GB2312" w:cs="Times New Roman"/>
          <w:spacing w:val="-20"/>
          <w:sz w:val="32"/>
          <w:szCs w:val="32"/>
        </w:rPr>
        <w:t>16393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家</w:t>
      </w:r>
      <w:r>
        <w:rPr>
          <w:rFonts w:hint="eastAsia" w:ascii="Times New Roman" w:hAnsi="Times New Roman" w:eastAsia="仿宋_GB2312" w:cs="仿宋_GB2312"/>
          <w:sz w:val="32"/>
          <w:szCs w:val="32"/>
        </w:rPr>
        <w:t>企业，真正做到主动服务、有呼必应、办就办好。每季度开展机关效能与服务能力第三方评估，精准发现问题，推动作风转变。实行包容审慎监管，</w:t>
      </w:r>
      <w:r>
        <w:rPr>
          <w:rFonts w:ascii="Times New Roman" w:hAnsi="Times New Roman" w:eastAsia="仿宋_GB2312" w:cs="Times New Roman"/>
          <w:spacing w:val="-20"/>
          <w:sz w:val="32"/>
          <w:szCs w:val="32"/>
        </w:rPr>
        <w:t>23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起</w:t>
      </w:r>
      <w:r>
        <w:rPr>
          <w:rFonts w:hint="eastAsia" w:ascii="Times New Roman" w:hAnsi="Times New Roman" w:eastAsia="仿宋_GB2312" w:cs="仿宋_GB2312"/>
          <w:sz w:val="32"/>
          <w:szCs w:val="32"/>
        </w:rPr>
        <w:t>案件落实“首违不罚”。信用信息和“双公示”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  <w:vertAlign w:val="superscript"/>
        </w:rPr>
        <w:t>[3]</w:t>
      </w:r>
      <w:r>
        <w:rPr>
          <w:rFonts w:hint="eastAsia" w:ascii="Times New Roman" w:hAnsi="Times New Roman" w:eastAsia="仿宋_GB2312" w:cs="仿宋_GB2312"/>
          <w:sz w:val="32"/>
          <w:szCs w:val="32"/>
        </w:rPr>
        <w:t>归集数据</w:t>
      </w:r>
      <w:r>
        <w:rPr>
          <w:rFonts w:ascii="Times New Roman" w:hAnsi="Times New Roman" w:eastAsia="仿宋_GB2312" w:cs="Times New Roman"/>
          <w:sz w:val="32"/>
          <w:szCs w:val="32"/>
        </w:rPr>
        <w:t>1757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万条，信易贷累计授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信</w:t>
      </w:r>
      <w:r>
        <w:rPr>
          <w:rFonts w:ascii="Times New Roman" w:hAnsi="Times New Roman" w:eastAsia="仿宋_GB2312" w:cs="Times New Roman"/>
          <w:spacing w:val="-20"/>
          <w:sz w:val="32"/>
          <w:szCs w:val="32"/>
        </w:rPr>
        <w:t>13.5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亿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元。我区被确定为全省社会信用体系建设典型城市县级试点。</w:t>
      </w:r>
    </w:p>
    <w:p w14:paraId="5E96AFE9">
      <w:pPr>
        <w:spacing w:line="576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Style w:val="26"/>
          <w:rFonts w:hint="eastAsia" w:ascii="Times New Roman" w:hAnsi="Times New Roman" w:eastAsia="楷体_GB2312" w:cs="楷体_GB2312"/>
          <w:kern w:val="0"/>
          <w:sz w:val="32"/>
          <w:szCs w:val="32"/>
        </w:rPr>
        <w:t>纾困解难力度空前。</w:t>
      </w:r>
      <w:r>
        <w:rPr>
          <w:rFonts w:hint="eastAsia" w:ascii="黑体" w:hAnsi="黑体" w:eastAsia="黑体" w:cs="黑体"/>
          <w:sz w:val="32"/>
          <w:szCs w:val="32"/>
        </w:rPr>
        <w:t>强化政策落实，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在全市率先出台区级层面</w:t>
      </w:r>
      <w:r>
        <w:rPr>
          <w:rFonts w:ascii="Times New Roman" w:hAnsi="Times New Roman" w:eastAsia="仿宋_GB2312" w:cs="Times New Roman"/>
          <w:sz w:val="32"/>
          <w:szCs w:val="32"/>
        </w:rPr>
        <w:t>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个方面</w:t>
      </w:r>
      <w:r>
        <w:rPr>
          <w:rFonts w:ascii="Times New Roman" w:hAnsi="Times New Roman" w:eastAsia="仿宋_GB2312" w:cs="Times New Roman"/>
          <w:sz w:val="32"/>
          <w:szCs w:val="32"/>
        </w:rPr>
        <w:t>51</w:t>
      </w:r>
      <w:r>
        <w:rPr>
          <w:rFonts w:hint="eastAsia" w:ascii="Times New Roman" w:hAnsi="Times New Roman" w:eastAsia="仿宋_GB2312" w:cs="仿宋_GB2312"/>
          <w:sz w:val="32"/>
          <w:szCs w:val="32"/>
        </w:rPr>
        <w:t>条措施和</w:t>
      </w:r>
      <w:r>
        <w:rPr>
          <w:rFonts w:ascii="Times New Roman" w:hAnsi="Times New Roman" w:eastAsia="仿宋_GB2312" w:cs="Times New Roman"/>
          <w:sz w:val="32"/>
          <w:szCs w:val="32"/>
        </w:rPr>
        <w:t>21</w:t>
      </w:r>
      <w:r>
        <w:rPr>
          <w:rFonts w:hint="eastAsia" w:ascii="Times New Roman" w:hAnsi="Times New Roman" w:eastAsia="仿宋_GB2312" w:cs="仿宋_GB2312"/>
          <w:sz w:val="32"/>
          <w:szCs w:val="32"/>
        </w:rPr>
        <w:t>条接续措施，</w:t>
      </w:r>
      <w:r>
        <w:rPr>
          <w:rFonts w:ascii="Times New Roman" w:hAnsi="Times New Roman" w:eastAsia="仿宋_GB2312" w:cs="Times New Roman"/>
          <w:sz w:val="32"/>
          <w:szCs w:val="32"/>
        </w:rPr>
        <w:t>10.2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万户市场主体退、减、缓</w:t>
      </w:r>
      <w:r>
        <w:rPr>
          <w:rFonts w:hint="eastAsia" w:eastAsia="仿宋_GB2312" w:cs="仿宋_GB2312"/>
          <w:sz w:val="32"/>
          <w:szCs w:val="32"/>
        </w:rPr>
        <w:t>交</w:t>
      </w:r>
      <w:r>
        <w:rPr>
          <w:rFonts w:hint="eastAsia" w:ascii="Times New Roman" w:hAnsi="Times New Roman" w:eastAsia="仿宋_GB2312" w:cs="仿宋_GB2312"/>
          <w:sz w:val="32"/>
          <w:szCs w:val="32"/>
        </w:rPr>
        <w:t>税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费</w:t>
      </w:r>
      <w:r>
        <w:rPr>
          <w:rFonts w:ascii="Times New Roman" w:hAnsi="Times New Roman" w:eastAsia="仿宋_GB2312" w:cs="Times New Roman"/>
          <w:spacing w:val="-20"/>
          <w:sz w:val="32"/>
          <w:szCs w:val="32"/>
        </w:rPr>
        <w:t>37.6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亿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元，</w:t>
      </w:r>
      <w:r>
        <w:rPr>
          <w:rFonts w:ascii="Times New Roman" w:hAnsi="Times New Roman" w:eastAsia="仿宋_GB2312" w:cs="Times New Roman"/>
          <w:sz w:val="32"/>
          <w:szCs w:val="32"/>
        </w:rPr>
        <w:t>278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家科技型企业研发费用加计扣除</w:t>
      </w:r>
      <w:r>
        <w:rPr>
          <w:rFonts w:ascii="Times New Roman" w:hAnsi="Times New Roman" w:eastAsia="仿宋_GB2312" w:cs="Times New Roman"/>
          <w:sz w:val="32"/>
          <w:szCs w:val="32"/>
        </w:rPr>
        <w:t>3.5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亿元。</w:t>
      </w:r>
      <w:r>
        <w:rPr>
          <w:rFonts w:hint="eastAsia" w:ascii="黑体" w:hAnsi="黑体" w:eastAsia="黑体" w:cs="黑体"/>
          <w:sz w:val="32"/>
          <w:szCs w:val="32"/>
        </w:rPr>
        <w:t>强化稳岗助企，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累计缓缴医保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费</w:t>
      </w:r>
      <w:r>
        <w:rPr>
          <w:rFonts w:ascii="Times New Roman" w:hAnsi="Times New Roman" w:eastAsia="仿宋_GB2312" w:cs="Times New Roman"/>
          <w:spacing w:val="-20"/>
          <w:sz w:val="32"/>
          <w:szCs w:val="32"/>
        </w:rPr>
        <w:t>1.7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亿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元、社保费</w:t>
      </w:r>
      <w:r>
        <w:rPr>
          <w:rFonts w:ascii="Times New Roman" w:hAnsi="Times New Roman" w:eastAsia="仿宋_GB2312" w:cs="Times New Roman"/>
          <w:sz w:val="32"/>
          <w:szCs w:val="32"/>
        </w:rPr>
        <w:t>3278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</w:t>
      </w:r>
      <w:r>
        <w:rPr>
          <w:rFonts w:hint="eastAsia" w:eastAsia="仿宋_GB2312" w:cs="仿宋_GB2312"/>
          <w:sz w:val="32"/>
          <w:szCs w:val="32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养老保险费</w:t>
      </w:r>
      <w:r>
        <w:rPr>
          <w:rFonts w:ascii="Times New Roman" w:hAnsi="Times New Roman" w:eastAsia="仿宋_GB2312" w:cs="Times New Roman"/>
          <w:sz w:val="32"/>
          <w:szCs w:val="32"/>
        </w:rPr>
        <w:t>3015.7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</w:t>
      </w:r>
      <w:r>
        <w:rPr>
          <w:rFonts w:hint="eastAsia" w:eastAsia="仿宋_GB2312" w:cs="仿宋_GB2312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落实稳岗补贴</w:t>
      </w:r>
      <w:r>
        <w:rPr>
          <w:rFonts w:ascii="Times New Roman" w:hAnsi="Times New Roman" w:eastAsia="仿宋_GB2312" w:cs="Times New Roman"/>
          <w:sz w:val="32"/>
          <w:szCs w:val="32"/>
        </w:rPr>
        <w:t>3963.5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万元。</w:t>
      </w:r>
      <w:r>
        <w:rPr>
          <w:rFonts w:hint="eastAsia" w:ascii="黑体" w:hAnsi="黑体" w:eastAsia="黑体" w:cs="黑体"/>
          <w:sz w:val="32"/>
          <w:szCs w:val="32"/>
        </w:rPr>
        <w:t>强化金融惠企，</w:t>
      </w:r>
      <w:r>
        <w:rPr>
          <w:rFonts w:ascii="Times New Roman" w:hAnsi="Times New Roman" w:eastAsia="仿宋_GB2312" w:cs="Times New Roman"/>
          <w:spacing w:val="-20"/>
          <w:sz w:val="32"/>
          <w:szCs w:val="32"/>
        </w:rPr>
        <w:t>2.3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万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家中小微企业享受普惠贷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款</w:t>
      </w:r>
      <w:r>
        <w:rPr>
          <w:rFonts w:ascii="Times New Roman" w:hAnsi="Times New Roman" w:eastAsia="仿宋_GB2312" w:cs="Times New Roman"/>
          <w:sz w:val="32"/>
          <w:szCs w:val="32"/>
        </w:rPr>
        <w:t>192.4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亿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元，</w:t>
      </w:r>
      <w:r>
        <w:rPr>
          <w:rFonts w:ascii="Times New Roman" w:hAnsi="Times New Roman" w:eastAsia="仿宋_GB2312" w:cs="Times New Roman"/>
          <w:sz w:val="32"/>
          <w:szCs w:val="32"/>
        </w:rPr>
        <w:t>5317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家小微企业落实贷款展期、续贷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等</w:t>
      </w:r>
      <w:r>
        <w:rPr>
          <w:rFonts w:ascii="Times New Roman" w:hAnsi="Times New Roman" w:eastAsia="仿宋_GB2312" w:cs="Times New Roman"/>
          <w:sz w:val="32"/>
          <w:szCs w:val="32"/>
        </w:rPr>
        <w:t>46.2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亿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元，企业开户、转账等全年减费让利</w:t>
      </w:r>
      <w:r>
        <w:rPr>
          <w:rFonts w:ascii="Times New Roman" w:hAnsi="Times New Roman" w:eastAsia="仿宋_GB2312" w:cs="Times New Roman"/>
          <w:sz w:val="32"/>
          <w:szCs w:val="32"/>
        </w:rPr>
        <w:t>3.01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亿元。</w:t>
      </w:r>
    </w:p>
    <w:p w14:paraId="2D37900E">
      <w:pPr>
        <w:spacing w:line="576" w:lineRule="exact"/>
        <w:ind w:firstLine="643" w:firstLineChars="200"/>
        <w:rPr>
          <w:rFonts w:cs="Times New Roman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科技创新活力涌动。</w:t>
      </w:r>
      <w:r>
        <w:rPr>
          <w:rFonts w:hint="eastAsia" w:ascii="黑体" w:hAnsi="黑体" w:eastAsia="黑体" w:cs="黑体"/>
          <w:sz w:val="32"/>
          <w:szCs w:val="32"/>
        </w:rPr>
        <w:t>创新主体培育壮大，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省级以上创新平台达到</w:t>
      </w:r>
      <w:r>
        <w:rPr>
          <w:rFonts w:ascii="Times New Roman" w:hAnsi="Times New Roman" w:eastAsia="仿宋_GB2312" w:cs="Times New Roman"/>
          <w:sz w:val="32"/>
          <w:szCs w:val="32"/>
        </w:rPr>
        <w:t>82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家，高新技术企业突破</w:t>
      </w:r>
      <w:r>
        <w:rPr>
          <w:rFonts w:ascii="Times New Roman" w:hAnsi="Times New Roman" w:eastAsia="仿宋_GB2312" w:cs="Times New Roman"/>
          <w:sz w:val="32"/>
          <w:szCs w:val="32"/>
        </w:rPr>
        <w:t>190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家，科技型中小企业达到</w:t>
      </w:r>
      <w:r>
        <w:rPr>
          <w:rFonts w:ascii="Times New Roman" w:hAnsi="Times New Roman" w:eastAsia="仿宋_GB2312" w:cs="Times New Roman"/>
          <w:sz w:val="32"/>
          <w:szCs w:val="32"/>
        </w:rPr>
        <w:t>1150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家。新增专精特新企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业</w:t>
      </w:r>
      <w:r>
        <w:rPr>
          <w:rFonts w:ascii="Times New Roman" w:hAnsi="Times New Roman" w:eastAsia="仿宋_GB2312" w:cs="Times New Roman"/>
          <w:spacing w:val="-20"/>
          <w:sz w:val="32"/>
          <w:szCs w:val="32"/>
        </w:rPr>
        <w:t>11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家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，总量达到</w:t>
      </w:r>
      <w:r>
        <w:rPr>
          <w:rFonts w:ascii="Times New Roman" w:hAnsi="Times New Roman" w:eastAsia="仿宋_GB2312" w:cs="Times New Roman"/>
          <w:sz w:val="32"/>
          <w:szCs w:val="32"/>
        </w:rPr>
        <w:t>23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家。新增省级技术中心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家，总量达到</w:t>
      </w:r>
      <w:r>
        <w:rPr>
          <w:rFonts w:ascii="Times New Roman" w:hAnsi="Times New Roman" w:eastAsia="仿宋_GB2312" w:cs="Times New Roman"/>
          <w:sz w:val="32"/>
          <w:szCs w:val="32"/>
        </w:rPr>
        <w:t>11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家。县域科技创新评价继续位列</w:t>
      </w:r>
      <w:r>
        <w:rPr>
          <w:rFonts w:ascii="Times New Roman" w:hAnsi="Times New Roman" w:eastAsia="仿宋_GB2312" w:cs="Times New Roman"/>
          <w:sz w:val="32"/>
          <w:szCs w:val="32"/>
        </w:rPr>
        <w:t>A</w:t>
      </w:r>
      <w:r>
        <w:rPr>
          <w:rFonts w:hint="eastAsia" w:ascii="Times New Roman" w:hAnsi="Times New Roman" w:eastAsia="仿宋_GB2312" w:cs="仿宋_GB2312"/>
          <w:sz w:val="32"/>
          <w:szCs w:val="32"/>
        </w:rPr>
        <w:t>类行列，排位上升至全省第</w:t>
      </w:r>
      <w:r>
        <w:rPr>
          <w:rFonts w:ascii="Times New Roman" w:hAnsi="Times New Roman" w:eastAsia="仿宋_GB2312" w:cs="Times New Roman"/>
          <w:sz w:val="32"/>
          <w:szCs w:val="32"/>
        </w:rPr>
        <w:t>16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名。</w:t>
      </w:r>
      <w:r>
        <w:rPr>
          <w:rFonts w:hint="eastAsia" w:ascii="黑体" w:hAnsi="黑体" w:eastAsia="黑体" w:cs="黑体"/>
          <w:sz w:val="32"/>
          <w:szCs w:val="32"/>
        </w:rPr>
        <w:t>创新氛围日益浓厚，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在全市率先挂牌成立县（区）级知识产权纠纷人民调解委员会，万人发明专利拥有量达到</w:t>
      </w:r>
      <w:r>
        <w:rPr>
          <w:rFonts w:ascii="Times New Roman" w:hAnsi="Times New Roman" w:eastAsia="仿宋_GB2312" w:cs="Times New Roman"/>
          <w:sz w:val="32"/>
          <w:szCs w:val="32"/>
        </w:rPr>
        <w:t>14.9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件。新增注册商标</w:t>
      </w:r>
      <w:r>
        <w:rPr>
          <w:rFonts w:ascii="Times New Roman" w:hAnsi="Times New Roman" w:eastAsia="仿宋_GB2312" w:cs="Times New Roman"/>
          <w:sz w:val="32"/>
          <w:szCs w:val="32"/>
        </w:rPr>
        <w:t>5211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件，总量达到</w:t>
      </w:r>
      <w:r>
        <w:rPr>
          <w:rFonts w:ascii="Times New Roman" w:hAnsi="Times New Roman" w:eastAsia="仿宋_GB2312" w:cs="Times New Roman"/>
          <w:sz w:val="32"/>
          <w:szCs w:val="32"/>
        </w:rPr>
        <w:t>4.6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万件，位居全市首位。</w:t>
      </w:r>
      <w:r>
        <w:rPr>
          <w:rFonts w:hint="eastAsia" w:ascii="黑体" w:hAnsi="黑体" w:eastAsia="黑体" w:cs="黑体"/>
          <w:sz w:val="32"/>
          <w:szCs w:val="32"/>
        </w:rPr>
        <w:t>政策支持持续加大，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全年争取各类科技政策资金</w:t>
      </w:r>
      <w:r>
        <w:rPr>
          <w:rFonts w:ascii="Times New Roman" w:hAnsi="Times New Roman" w:eastAsia="仿宋_GB2312" w:cs="Times New Roman"/>
          <w:sz w:val="32"/>
          <w:szCs w:val="32"/>
        </w:rPr>
        <w:t>3042.4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万元，全区财政科技支出达到</w:t>
      </w:r>
      <w:r>
        <w:rPr>
          <w:rFonts w:ascii="Times New Roman" w:hAnsi="Times New Roman" w:eastAsia="仿宋_GB2312" w:cs="Times New Roman"/>
          <w:sz w:val="32"/>
          <w:szCs w:val="32"/>
        </w:rPr>
        <w:t>8160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万元，同比增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长</w:t>
      </w:r>
      <w:r>
        <w:rPr>
          <w:rFonts w:ascii="Times New Roman" w:hAnsi="Times New Roman" w:eastAsia="仿宋_GB2312" w:cs="Times New Roman"/>
          <w:spacing w:val="-20"/>
          <w:sz w:val="32"/>
          <w:szCs w:val="32"/>
        </w:rPr>
        <w:t>2.7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倍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。制发人才绿卡</w:t>
      </w:r>
      <w:r>
        <w:rPr>
          <w:rFonts w:ascii="Times New Roman" w:hAnsi="Times New Roman" w:eastAsia="仿宋_GB2312" w:cs="Times New Roman"/>
          <w:sz w:val="32"/>
          <w:szCs w:val="32"/>
        </w:rPr>
        <w:t>1510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张，发放补贴</w:t>
      </w:r>
      <w:r>
        <w:rPr>
          <w:rFonts w:ascii="Times New Roman" w:hAnsi="Times New Roman" w:eastAsia="仿宋_GB2312" w:cs="Times New Roman"/>
          <w:sz w:val="32"/>
          <w:szCs w:val="32"/>
        </w:rPr>
        <w:t>332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万元。</w:t>
      </w:r>
      <w:r>
        <w:rPr>
          <w:rFonts w:hint="eastAsia" w:ascii="黑体" w:hAnsi="黑体" w:eastAsia="黑体" w:cs="黑体"/>
          <w:sz w:val="32"/>
          <w:szCs w:val="32"/>
        </w:rPr>
        <w:t>质量强区深入推进，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sz w:val="32"/>
          <w:szCs w:val="32"/>
        </w:rPr>
        <w:t>项国家级标准化试点通过中期评估，</w:t>
      </w:r>
      <w:r>
        <w:rPr>
          <w:rFonts w:ascii="Times New Roman" w:hAnsi="Times New Roman" w:eastAsia="仿宋_GB2312" w:cs="Times New Roman"/>
          <w:sz w:val="32"/>
          <w:szCs w:val="32"/>
        </w:rPr>
        <w:t>19</w:t>
      </w:r>
      <w:r>
        <w:rPr>
          <w:rFonts w:hint="eastAsia" w:ascii="Times New Roman" w:hAnsi="Times New Roman" w:eastAsia="仿宋_GB2312" w:cs="仿宋_GB2312"/>
          <w:sz w:val="32"/>
          <w:szCs w:val="32"/>
        </w:rPr>
        <w:t>项地方标准发布实施。全民科学素质持续提升，被评为第二批全国科普示范区。</w:t>
      </w:r>
    </w:p>
    <w:p w14:paraId="6B40D602">
      <w:pPr>
        <w:tabs>
          <w:tab w:val="left" w:pos="8460"/>
          <w:tab w:val="left" w:pos="8640"/>
        </w:tabs>
        <w:spacing w:line="576" w:lineRule="exact"/>
        <w:ind w:firstLine="640" w:firstLineChars="200"/>
        <w:rPr>
          <w:rFonts w:ascii="Times New Roman" w:hAnsi="Times New Roman" w:eastAsia="黑体" w:cs="Times New Roman"/>
          <w:color w:val="222222"/>
          <w:spacing w:val="9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</w:rPr>
        <w:t>一年来，我们坚持把城市建设作为重中之重，披坚执锐解难</w:t>
      </w:r>
      <w:r>
        <w:rPr>
          <w:rFonts w:hint="eastAsia" w:ascii="黑体" w:hAnsi="黑体" w:eastAsia="黑体" w:cs="黑体"/>
          <w:spacing w:val="-6"/>
          <w:sz w:val="32"/>
          <w:szCs w:val="32"/>
        </w:rPr>
        <w:t>题、扛硬活、打硬仗，</w:t>
      </w:r>
      <w:r>
        <w:rPr>
          <w:rFonts w:hint="eastAsia" w:ascii="Times New Roman" w:hAnsi="Times New Roman" w:eastAsia="黑体" w:cs="黑体"/>
          <w:color w:val="222222"/>
          <w:spacing w:val="-6"/>
          <w:sz w:val="32"/>
          <w:szCs w:val="32"/>
          <w:shd w:val="clear" w:color="auto" w:fill="FFFFFF"/>
        </w:rPr>
        <w:t>拥河亲水、宜居宜业的城市形象更加凸显。</w:t>
      </w:r>
    </w:p>
    <w:p w14:paraId="411B68CC">
      <w:pPr>
        <w:spacing w:line="576" w:lineRule="exact"/>
        <w:ind w:firstLine="640"/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城市更新激活品质蝶变。</w:t>
      </w:r>
      <w:r>
        <w:rPr>
          <w:rFonts w:hint="eastAsia" w:ascii="黑体" w:hAnsi="黑体" w:eastAsia="黑体" w:cs="黑体"/>
          <w:sz w:val="32"/>
          <w:szCs w:val="32"/>
        </w:rPr>
        <w:t>重点项目快速推进，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太平河城市片区展示中心对外开放；石煤机城市更新成效凸显，智慧体育公园顺利开园，首批住宅主体封顶，工业遗址保护区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sz w:val="32"/>
          <w:szCs w:val="32"/>
        </w:rPr>
        <w:t>号场馆全部完工；东垣古城遗址公园一期正式开放，建成了市区内最大的城市绿心和天然氧吧。</w:t>
      </w:r>
      <w:r>
        <w:rPr>
          <w:rFonts w:hint="eastAsia" w:ascii="黑体" w:hAnsi="黑体" w:eastAsia="黑体" w:cs="黑体"/>
          <w:sz w:val="32"/>
          <w:szCs w:val="32"/>
        </w:rPr>
        <w:t>违建整治成效显著，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累计拆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除</w:t>
      </w:r>
      <w:r>
        <w:rPr>
          <w:rFonts w:ascii="Times New Roman" w:hAnsi="Times New Roman" w:eastAsia="仿宋_GB2312" w:cs="Times New Roman"/>
          <w:sz w:val="32"/>
          <w:szCs w:val="32"/>
        </w:rPr>
        <w:t>3536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处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360</w:t>
      </w:r>
      <w:r>
        <w:rPr>
          <w:rFonts w:hint="eastAsia" w:ascii="Times New Roman" w:hAnsi="Times New Roman" w:eastAsia="仿宋_GB2312" w:cs="仿宋_GB2312"/>
          <w:sz w:val="32"/>
          <w:szCs w:val="32"/>
        </w:rPr>
        <w:t>余万平方米，腾退土地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近</w:t>
      </w:r>
      <w:r>
        <w:rPr>
          <w:rFonts w:ascii="Times New Roman" w:hAnsi="Times New Roman" w:eastAsia="仿宋_GB2312" w:cs="Times New Roman"/>
          <w:sz w:val="32"/>
          <w:szCs w:val="32"/>
        </w:rPr>
        <w:t>6600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亩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  <w:r>
        <w:rPr>
          <w:rFonts w:hint="eastAsia" w:ascii="黑体" w:hAnsi="黑体" w:eastAsia="黑体" w:cs="黑体"/>
          <w:sz w:val="32"/>
          <w:szCs w:val="32"/>
        </w:rPr>
        <w:t>群众关切及时回应，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棚户区改造新开工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1965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套，基本建成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2060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套；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店上、西庄屯回迁楼主体封顶；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7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个“入住难”和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个烂尾楼项目全部按公示节点推进，</w:t>
      </w:r>
      <w:r>
        <w:rPr>
          <w:rFonts w:ascii="Times New Roman" w:hAnsi="Times New Roman" w:eastAsia="仿宋_GB2312" w:cs="Times New Roman"/>
          <w:sz w:val="32"/>
          <w:szCs w:val="32"/>
        </w:rPr>
        <w:t>61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个“办证难”项目累计办理小证</w:t>
      </w:r>
      <w:r>
        <w:rPr>
          <w:rFonts w:ascii="Times New Roman" w:hAnsi="Times New Roman" w:eastAsia="仿宋_GB2312" w:cs="Times New Roman"/>
          <w:sz w:val="32"/>
          <w:szCs w:val="32"/>
        </w:rPr>
        <w:t>37234</w:t>
      </w:r>
      <w:r>
        <w:rPr>
          <w:rFonts w:hint="eastAsia" w:ascii="Times New Roman" w:hAnsi="Times New Roman" w:eastAsia="仿宋_GB2312" w:cs="仿宋_GB2312"/>
          <w:sz w:val="32"/>
          <w:szCs w:val="32"/>
        </w:rPr>
        <w:t>户，办证率达到</w:t>
      </w:r>
      <w:r>
        <w:rPr>
          <w:rFonts w:ascii="Times New Roman" w:hAnsi="Times New Roman" w:eastAsia="仿宋_GB2312" w:cs="Times New Roman"/>
          <w:sz w:val="32"/>
          <w:szCs w:val="32"/>
        </w:rPr>
        <w:t>78.1%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；</w:t>
      </w:r>
      <w:r>
        <w:rPr>
          <w:rFonts w:ascii="Times New Roman" w:hAnsi="Times New Roman" w:eastAsia="仿宋_GB2312" w:cs="Times New Roman"/>
          <w:sz w:val="32"/>
          <w:szCs w:val="32"/>
        </w:rPr>
        <w:t>87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个老旧小区完成改造，惠及群众</w:t>
      </w:r>
      <w:r>
        <w:rPr>
          <w:rFonts w:ascii="Times New Roman" w:hAnsi="Times New Roman" w:eastAsia="仿宋_GB2312" w:cs="Times New Roman"/>
          <w:sz w:val="32"/>
          <w:szCs w:val="32"/>
        </w:rPr>
        <w:t>1.5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万户。</w:t>
      </w:r>
    </w:p>
    <w:p w14:paraId="418AE26B">
      <w:pPr>
        <w:spacing w:line="576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高标建设加快基础提档。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路网结构不断完善，复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兴大街和北三环市政化改造扎实推进，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栗康街等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条城市支路全面竣工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，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天桂中街等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条规划路建成通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车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。垃圾收运日渐规范，南村生活垃圾转运站竣工投用，建成全省首家再生资源绿色分拣中心，启用全省首座社区垃圾分类智能投放设施，打</w:t>
      </w:r>
      <w:r>
        <w:rPr>
          <w:rFonts w:hint="eastAsia" w:ascii="Times New Roman" w:hAnsi="Times New Roman" w:eastAsia="仿宋_GB2312" w:cs="仿宋_GB2312"/>
          <w:spacing w:val="-20"/>
          <w:kern w:val="0"/>
          <w:sz w:val="32"/>
          <w:szCs w:val="32"/>
          <w:shd w:val="clear" w:color="auto" w:fill="FFFFFF"/>
        </w:rPr>
        <w:t>造</w:t>
      </w:r>
      <w:r>
        <w:rPr>
          <w:rFonts w:ascii="Times New Roman" w:hAnsi="Times New Roman" w:eastAsia="仿宋_GB2312" w:cs="Times New Roman"/>
          <w:spacing w:val="-20"/>
          <w:kern w:val="0"/>
          <w:sz w:val="32"/>
          <w:szCs w:val="32"/>
          <w:shd w:val="clear" w:color="auto" w:fill="FFFFFF"/>
        </w:rPr>
        <w:t>2</w:t>
      </w:r>
      <w:r>
        <w:rPr>
          <w:rFonts w:hint="eastAsia" w:ascii="Times New Roman" w:hAnsi="Times New Roman" w:eastAsia="仿宋_GB2312" w:cs="仿宋_GB2312"/>
          <w:spacing w:val="-20"/>
          <w:kern w:val="0"/>
          <w:sz w:val="32"/>
          <w:szCs w:val="32"/>
          <w:shd w:val="clear" w:color="auto" w:fill="FFFFFF"/>
        </w:rPr>
        <w:t>个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生活垃圾分类示范小区。新建公共停车位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4022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个，超既定任务的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14.9%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绿色建筑、装配式建筑分别竣工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133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万平方米和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75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万平方米，均居全市第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1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。</w:t>
      </w:r>
    </w:p>
    <w:p w14:paraId="17F341B0">
      <w:pPr>
        <w:pStyle w:val="45"/>
        <w:spacing w:line="576" w:lineRule="exact"/>
        <w:ind w:firstLine="643"/>
        <w:rPr>
          <w:rFonts w:eastAsia="仿宋_GB2312"/>
          <w:sz w:val="32"/>
          <w:szCs w:val="32"/>
        </w:rPr>
      </w:pPr>
      <w:r>
        <w:rPr>
          <w:rFonts w:hint="eastAsia" w:eastAsia="楷体_GB2312" w:cs="楷体_GB2312"/>
          <w:b/>
          <w:bCs/>
          <w:sz w:val="32"/>
          <w:szCs w:val="32"/>
        </w:rPr>
        <w:t>精细管理助推颜值提升。</w:t>
      </w:r>
      <w:r>
        <w:rPr>
          <w:rFonts w:hint="eastAsia" w:eastAsia="仿宋_GB2312" w:cs="仿宋_GB2312"/>
          <w:kern w:val="0"/>
          <w:sz w:val="32"/>
          <w:szCs w:val="32"/>
          <w:shd w:val="clear" w:color="auto" w:fill="FFFFFF"/>
        </w:rPr>
        <w:t>市容环境持续改善，城市管理七大专项行动成效显著，</w:t>
      </w:r>
      <w:r>
        <w:rPr>
          <w:rFonts w:eastAsia="仿宋_GB2312"/>
          <w:kern w:val="0"/>
          <w:sz w:val="32"/>
          <w:szCs w:val="32"/>
          <w:shd w:val="clear" w:color="auto" w:fill="FFFFFF"/>
        </w:rPr>
        <w:t>899</w:t>
      </w:r>
      <w:r>
        <w:rPr>
          <w:rFonts w:hint="eastAsia" w:eastAsia="仿宋_GB2312" w:cs="仿宋_GB2312"/>
          <w:kern w:val="0"/>
          <w:sz w:val="32"/>
          <w:szCs w:val="32"/>
          <w:shd w:val="clear" w:color="auto" w:fill="FFFFFF"/>
        </w:rPr>
        <w:t>条区管道路实现清扫保洁全覆盖，</w:t>
      </w:r>
      <w:r>
        <w:rPr>
          <w:rFonts w:eastAsia="仿宋_GB2312"/>
          <w:kern w:val="0"/>
          <w:sz w:val="32"/>
          <w:szCs w:val="32"/>
          <w:shd w:val="clear" w:color="auto" w:fill="FFFFFF"/>
        </w:rPr>
        <w:t>83</w:t>
      </w:r>
      <w:r>
        <w:rPr>
          <w:rFonts w:hint="eastAsia" w:eastAsia="仿宋_GB2312" w:cs="仿宋_GB2312"/>
          <w:kern w:val="0"/>
          <w:sz w:val="32"/>
          <w:szCs w:val="32"/>
          <w:shd w:val="clear" w:color="auto" w:fill="FFFFFF"/>
        </w:rPr>
        <w:t>座区管公厕全部达到二类及以上标准，</w:t>
      </w:r>
      <w:r>
        <w:rPr>
          <w:rFonts w:eastAsia="仿宋_GB2312"/>
          <w:spacing w:val="-20"/>
          <w:kern w:val="0"/>
          <w:sz w:val="32"/>
          <w:szCs w:val="32"/>
          <w:shd w:val="clear" w:color="auto" w:fill="FFFFFF"/>
        </w:rPr>
        <w:t>4.2</w:t>
      </w:r>
      <w:r>
        <w:rPr>
          <w:rFonts w:hint="eastAsia" w:eastAsia="仿宋_GB2312" w:cs="仿宋_GB2312"/>
          <w:spacing w:val="-20"/>
          <w:kern w:val="0"/>
          <w:sz w:val="32"/>
          <w:szCs w:val="32"/>
          <w:shd w:val="clear" w:color="auto" w:fill="FFFFFF"/>
        </w:rPr>
        <w:t>万</w:t>
      </w:r>
      <w:r>
        <w:rPr>
          <w:rFonts w:hint="eastAsia" w:eastAsia="仿宋_GB2312" w:cs="仿宋_GB2312"/>
          <w:kern w:val="0"/>
          <w:sz w:val="32"/>
          <w:szCs w:val="32"/>
          <w:shd w:val="clear" w:color="auto" w:fill="FFFFFF"/>
        </w:rPr>
        <w:t>个临街商铺落实门前“三包”，多维度、常态化开展占道经营整治，</w:t>
      </w:r>
      <w:r>
        <w:rPr>
          <w:rFonts w:hint="eastAsia" w:eastAsia="仿宋_GB2312" w:cs="仿宋_GB2312"/>
          <w:sz w:val="32"/>
          <w:szCs w:val="32"/>
        </w:rPr>
        <w:t>成功创建省级洁净城区和省级文明城区，顺利通过全国文明城市复检。</w:t>
      </w:r>
      <w:r>
        <w:rPr>
          <w:rFonts w:hint="eastAsia" w:eastAsia="仿宋_GB2312" w:cs="仿宋_GB2312"/>
          <w:kern w:val="0"/>
          <w:sz w:val="32"/>
          <w:szCs w:val="32"/>
          <w:shd w:val="clear" w:color="auto" w:fill="FFFFFF"/>
        </w:rPr>
        <w:t>打</w:t>
      </w:r>
      <w:r>
        <w:rPr>
          <w:rFonts w:hint="eastAsia" w:eastAsia="仿宋_GB2312" w:cs="仿宋_GB2312"/>
          <w:spacing w:val="-20"/>
          <w:kern w:val="0"/>
          <w:sz w:val="32"/>
          <w:szCs w:val="32"/>
          <w:shd w:val="clear" w:color="auto" w:fill="FFFFFF"/>
        </w:rPr>
        <w:t>造</w:t>
      </w:r>
      <w:r>
        <w:rPr>
          <w:rFonts w:eastAsia="仿宋_GB2312"/>
          <w:spacing w:val="-20"/>
          <w:kern w:val="0"/>
          <w:sz w:val="32"/>
          <w:szCs w:val="32"/>
          <w:shd w:val="clear" w:color="auto" w:fill="FFFFFF"/>
        </w:rPr>
        <w:t>10</w:t>
      </w:r>
      <w:r>
        <w:rPr>
          <w:rFonts w:hint="eastAsia" w:eastAsia="仿宋_GB2312" w:cs="仿宋_GB2312"/>
          <w:spacing w:val="-20"/>
          <w:kern w:val="0"/>
          <w:sz w:val="32"/>
          <w:szCs w:val="32"/>
          <w:shd w:val="clear" w:color="auto" w:fill="FFFFFF"/>
        </w:rPr>
        <w:t>条</w:t>
      </w:r>
      <w:r>
        <w:rPr>
          <w:rFonts w:hint="eastAsia" w:eastAsia="仿宋_GB2312" w:cs="仿宋_GB2312"/>
          <w:kern w:val="0"/>
          <w:sz w:val="32"/>
          <w:szCs w:val="32"/>
          <w:shd w:val="clear" w:color="auto" w:fill="FFFFFF"/>
        </w:rPr>
        <w:t>精品街道，电厂街成为全市首个工业博物馆主题街区，被评为省级精品街道。</w:t>
      </w:r>
    </w:p>
    <w:p w14:paraId="2613B636">
      <w:pPr>
        <w:spacing w:line="576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产业赋能助力乡村振兴。</w:t>
      </w:r>
      <w:r>
        <w:rPr>
          <w:rFonts w:hint="eastAsia" w:ascii="黑体" w:hAnsi="黑体" w:eastAsia="黑体" w:cs="黑体"/>
          <w:sz w:val="32"/>
          <w:szCs w:val="32"/>
        </w:rPr>
        <w:t>大力发展特色产业，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“侯帐桃”成功注册国家地理标志证明商标，在市内四区率先实现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零的突破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家企业被评为市级农业龙头企业，全区农业产业化经营率达</w:t>
      </w:r>
      <w:r>
        <w:rPr>
          <w:rFonts w:ascii="Times New Roman" w:hAnsi="Times New Roman" w:eastAsia="仿宋_GB2312" w:cs="Times New Roman"/>
          <w:sz w:val="32"/>
          <w:szCs w:val="32"/>
        </w:rPr>
        <w:t>60%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  <w:r>
        <w:rPr>
          <w:rFonts w:hint="eastAsia" w:ascii="黑体" w:hAnsi="黑体" w:eastAsia="黑体" w:cs="黑体"/>
          <w:sz w:val="32"/>
          <w:szCs w:val="32"/>
        </w:rPr>
        <w:t>全力做强集体经济，</w:t>
      </w:r>
      <w:r>
        <w:rPr>
          <w:rFonts w:ascii="Times New Roman" w:hAnsi="Times New Roman" w:eastAsia="仿宋_GB2312" w:cs="Times New Roman"/>
          <w:sz w:val="32"/>
          <w:szCs w:val="32"/>
        </w:rPr>
        <w:t>44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个村转社区完成资产清查，集体经济收入</w:t>
      </w:r>
      <w:r>
        <w:rPr>
          <w:rFonts w:ascii="Times New Roman" w:hAnsi="Times New Roman" w:eastAsia="仿宋_GB2312" w:cs="Times New Roman"/>
          <w:sz w:val="32"/>
          <w:szCs w:val="32"/>
        </w:rPr>
        <w:t>100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万元以上社区达到</w:t>
      </w:r>
      <w:r>
        <w:rPr>
          <w:rFonts w:ascii="Times New Roman" w:hAnsi="Times New Roman" w:eastAsia="仿宋_GB2312" w:cs="Times New Roman"/>
          <w:sz w:val="32"/>
          <w:szCs w:val="32"/>
        </w:rPr>
        <w:t>28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个。积极稳妥推进“村财镇管”，资产管理规范化水平进一步提升。</w:t>
      </w:r>
      <w:r>
        <w:rPr>
          <w:rFonts w:hint="eastAsia" w:ascii="黑体" w:hAnsi="黑体" w:eastAsia="黑体" w:cs="黑体"/>
          <w:sz w:val="32"/>
          <w:szCs w:val="32"/>
        </w:rPr>
        <w:t>持续改善人居环境，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清理各类垃圾</w:t>
      </w:r>
      <w:r>
        <w:rPr>
          <w:rFonts w:ascii="Times New Roman" w:hAnsi="Times New Roman" w:eastAsia="仿宋_GB2312" w:cs="Times New Roman"/>
          <w:sz w:val="32"/>
          <w:szCs w:val="32"/>
        </w:rPr>
        <w:t>8.6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万立方米，“四清”整治取得显著成效。</w:t>
      </w:r>
    </w:p>
    <w:p w14:paraId="7143A9F0">
      <w:pPr>
        <w:tabs>
          <w:tab w:val="left" w:pos="8460"/>
          <w:tab w:val="left" w:pos="8640"/>
        </w:tabs>
        <w:spacing w:line="576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多措并举推进生态改善。</w:t>
      </w:r>
      <w:r>
        <w:rPr>
          <w:rFonts w:hint="eastAsia" w:ascii="黑体" w:hAnsi="黑体" w:eastAsia="黑体" w:cs="黑体"/>
          <w:sz w:val="32"/>
          <w:szCs w:val="32"/>
        </w:rPr>
        <w:t>大气环境持续向好，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全区空气质量综合指数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4.93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，同比下降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1.4%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，位居全市第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18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名；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PM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  <w:vertAlign w:val="subscript"/>
        </w:rPr>
        <w:t>2.5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平均浓度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46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微克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/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立方米，同比下降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2.1%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；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PM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  <w:vertAlign w:val="subscript"/>
        </w:rPr>
        <w:t>10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平均浓度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81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微克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/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立方米，同比下降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1.2%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；二级以上优良天数达到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224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天，同比增</w:t>
      </w:r>
      <w:r>
        <w:rPr>
          <w:rFonts w:hint="eastAsia" w:ascii="Times New Roman" w:hAnsi="Times New Roman" w:eastAsia="仿宋_GB2312" w:cs="仿宋_GB2312"/>
          <w:spacing w:val="-20"/>
          <w:kern w:val="0"/>
          <w:sz w:val="32"/>
          <w:szCs w:val="32"/>
          <w:shd w:val="clear" w:color="auto" w:fill="FFFFFF"/>
        </w:rPr>
        <w:t>加</w:t>
      </w:r>
      <w:r>
        <w:rPr>
          <w:rFonts w:ascii="Times New Roman" w:hAnsi="Times New Roman" w:eastAsia="仿宋_GB2312" w:cs="Times New Roman"/>
          <w:spacing w:val="-20"/>
          <w:kern w:val="0"/>
          <w:sz w:val="32"/>
          <w:szCs w:val="32"/>
          <w:shd w:val="clear" w:color="auto" w:fill="FFFFFF"/>
        </w:rPr>
        <w:t>9</w:t>
      </w:r>
      <w:r>
        <w:rPr>
          <w:rFonts w:hint="eastAsia" w:ascii="Times New Roman" w:hAnsi="Times New Roman" w:eastAsia="仿宋_GB2312" w:cs="仿宋_GB2312"/>
          <w:spacing w:val="-20"/>
          <w:kern w:val="0"/>
          <w:sz w:val="32"/>
          <w:szCs w:val="32"/>
          <w:shd w:val="clear" w:color="auto" w:fill="FFFFFF"/>
        </w:rPr>
        <w:t>天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。</w:t>
      </w:r>
      <w:r>
        <w:rPr>
          <w:rFonts w:ascii="Times New Roman" w:hAnsi="Times New Roman" w:cs="Times New Roman"/>
          <w:sz w:val="32"/>
          <w:szCs w:val="32"/>
        </w:rPr>
        <w:t>21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家企业（项目）纳入生态环境监管“白名单”管理。</w:t>
      </w:r>
      <w:r>
        <w:rPr>
          <w:rFonts w:hint="eastAsia" w:ascii="黑体" w:hAnsi="黑体" w:eastAsia="黑体" w:cs="黑体"/>
          <w:sz w:val="32"/>
          <w:szCs w:val="32"/>
        </w:rPr>
        <w:t>水体治理成效显著，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关停自备井</w:t>
      </w:r>
      <w:r>
        <w:rPr>
          <w:rFonts w:ascii="Times New Roman" w:hAnsi="Times New Roman" w:eastAsia="仿宋_GB2312" w:cs="Times New Roman"/>
          <w:sz w:val="32"/>
          <w:szCs w:val="32"/>
        </w:rPr>
        <w:t>123</w:t>
      </w:r>
      <w:r>
        <w:rPr>
          <w:rFonts w:hint="eastAsia" w:ascii="Times New Roman" w:hAnsi="Times New Roman" w:eastAsia="仿宋_GB2312" w:cs="仿宋_GB2312"/>
          <w:sz w:val="32"/>
          <w:szCs w:val="32"/>
        </w:rPr>
        <w:t>眼，地下水位同比回升</w:t>
      </w:r>
      <w:r>
        <w:rPr>
          <w:rFonts w:ascii="Times New Roman" w:hAnsi="Times New Roman" w:eastAsia="仿宋_GB2312" w:cs="Times New Roman"/>
          <w:sz w:val="32"/>
          <w:szCs w:val="32"/>
        </w:rPr>
        <w:t>2.98</w:t>
      </w:r>
      <w:r>
        <w:rPr>
          <w:rFonts w:hint="eastAsia" w:ascii="Times New Roman" w:hAnsi="Times New Roman" w:eastAsia="仿宋_GB2312" w:cs="仿宋_GB2312"/>
          <w:sz w:val="32"/>
          <w:szCs w:val="32"/>
        </w:rPr>
        <w:t>米，出境水质稳定达到二类及以上标准。</w:t>
      </w:r>
      <w:r>
        <w:rPr>
          <w:rFonts w:hint="eastAsia" w:ascii="黑体" w:hAnsi="黑体" w:eastAsia="黑体" w:cs="黑体"/>
          <w:sz w:val="32"/>
          <w:szCs w:val="32"/>
        </w:rPr>
        <w:t>园林绿化品质提档，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9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座游园改造提升，月季公园提档升级，劳动主题游园建成开放。城区绿地面积达到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5703.9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万平方米，绿化覆盖率达到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41.2%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。庭院街巷绿化提标，新增省级园林小区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1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个、市级园林小区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个，打造绿色社区</w:t>
      </w: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94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个。</w:t>
      </w:r>
    </w:p>
    <w:p w14:paraId="5AF796AC">
      <w:pPr>
        <w:spacing w:line="576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一年来，我们坚持把改善民生作为根本目的，千方百计强基础、补短板、增福祉，以人为本、共建共享的幸福之基更加夯实。</w:t>
      </w:r>
    </w:p>
    <w:p w14:paraId="6EFB0EA8">
      <w:pPr>
        <w:tabs>
          <w:tab w:val="left" w:pos="8460"/>
          <w:tab w:val="left" w:pos="8640"/>
        </w:tabs>
        <w:spacing w:line="576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疫情防控科学精准。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始终坚持人民至上、生命至上，在核酸检测、流调排查、转运隔离、医疗救治、交通检疫、风险区域划定等方面，因时因势优化调整防控策略，最大程度保护了人民群众生命安全和身体健康，最大限度减少了疫情对经济社会发展的影响。疫情发生以来，全区上下果敢应战，四大班子领导身先士卒，各机关干部职工下沉社区、勇毅坚守，广大基层干部、医务人员、公安干警、社区工作者和志愿者不畏艰辛、逆行出征，各行各业和社会各界同舟共济、守望相助，展现了令人震撼的行动能力和精神力量。我们用勇敢、坚定和奉献，诠释了新时代长安精神，汇聚了共克时艰的磅礴力量！</w:t>
      </w:r>
    </w:p>
    <w:p w14:paraId="69EC9DA2">
      <w:pPr>
        <w:tabs>
          <w:tab w:val="left" w:pos="8460"/>
          <w:tab w:val="left" w:pos="8640"/>
        </w:tabs>
        <w:spacing w:line="576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社会事业全面进步。</w:t>
      </w:r>
      <w:r>
        <w:rPr>
          <w:rFonts w:hint="eastAsia" w:ascii="黑体" w:hAnsi="黑体" w:eastAsia="黑体" w:cs="黑体"/>
          <w:sz w:val="32"/>
          <w:szCs w:val="32"/>
        </w:rPr>
        <w:t>教育事业扩容提质，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新改扩建中小学、幼儿园</w:t>
      </w:r>
      <w:r>
        <w:rPr>
          <w:rFonts w:ascii="Times New Roman" w:hAnsi="Times New Roman" w:eastAsia="仿宋_GB2312" w:cs="Times New Roman"/>
          <w:sz w:val="32"/>
          <w:szCs w:val="32"/>
        </w:rPr>
        <w:t>9</w:t>
      </w:r>
      <w:r>
        <w:rPr>
          <w:rFonts w:hint="eastAsia" w:ascii="Times New Roman" w:hAnsi="Times New Roman" w:eastAsia="仿宋_GB2312" w:cs="仿宋_GB2312"/>
          <w:sz w:val="32"/>
          <w:szCs w:val="32"/>
        </w:rPr>
        <w:t>所，新增学位</w:t>
      </w:r>
      <w:r>
        <w:rPr>
          <w:rFonts w:ascii="Times New Roman" w:hAnsi="Times New Roman" w:eastAsia="仿宋_GB2312" w:cs="Times New Roman"/>
          <w:sz w:val="32"/>
          <w:szCs w:val="32"/>
        </w:rPr>
        <w:t>5400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</w:t>
      </w:r>
      <w:r>
        <w:rPr>
          <w:rFonts w:hint="eastAsia" w:ascii="Times New Roman" w:hAnsi="Times New Roman" w:eastAsia="仿宋_GB2312" w:cs="仿宋_GB2312"/>
          <w:spacing w:val="-11"/>
          <w:sz w:val="32"/>
          <w:szCs w:val="32"/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河北省首家心理健康服务中心落户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81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中。学区制管理改革参与学校占比达到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73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超既定目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  <w:shd w:val="clear" w:color="auto" w:fill="FFFFFF"/>
        </w:rPr>
        <w:t>标</w:t>
      </w:r>
      <w:r>
        <w:rPr>
          <w:rFonts w:ascii="Times New Roman" w:hAnsi="Times New Roman" w:eastAsia="仿宋_GB2312" w:cs="Times New Roman"/>
          <w:spacing w:val="-20"/>
          <w:sz w:val="32"/>
          <w:szCs w:val="32"/>
          <w:shd w:val="clear" w:color="auto" w:fill="FFFFFF"/>
        </w:rPr>
        <w:t>13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  <w:shd w:val="clear" w:color="auto" w:fill="FFFFFF"/>
        </w:rPr>
        <w:t>个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百分点。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民办教育规范发展，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双减”</w:t>
      </w:r>
      <w:r>
        <w:rPr>
          <w:rFonts w:hint="eastAsia" w:ascii="Times New Roman" w:hAnsi="Times New Roman" w:eastAsia="仿宋_GB2312" w:cs="仿宋_GB2312"/>
          <w:sz w:val="32"/>
          <w:szCs w:val="32"/>
        </w:rPr>
        <w:t>政策全面落实，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参加课后服务学生占比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94.1%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被评为河北省课后服务示范区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。</w:t>
      </w:r>
      <w:r>
        <w:rPr>
          <w:rFonts w:hint="eastAsia" w:ascii="黑体" w:hAnsi="黑体" w:eastAsia="黑体" w:cs="黑体"/>
          <w:sz w:val="32"/>
          <w:szCs w:val="32"/>
        </w:rPr>
        <w:t>文体事业不断繁荣，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举办文化惠民活动</w:t>
      </w:r>
      <w:r>
        <w:rPr>
          <w:rFonts w:ascii="Times New Roman" w:hAnsi="Times New Roman" w:eastAsia="仿宋_GB2312" w:cs="Times New Roman"/>
          <w:sz w:val="32"/>
          <w:szCs w:val="32"/>
        </w:rPr>
        <w:t>59</w:t>
      </w:r>
      <w:r>
        <w:rPr>
          <w:rFonts w:hint="eastAsia" w:ascii="Times New Roman" w:hAnsi="Times New Roman" w:eastAsia="仿宋_GB2312" w:cs="仿宋_GB2312"/>
          <w:sz w:val="32"/>
          <w:szCs w:val="32"/>
        </w:rPr>
        <w:t>场，开展冰雪赛事</w:t>
      </w:r>
      <w:r>
        <w:rPr>
          <w:rFonts w:ascii="Times New Roman" w:hAnsi="Times New Roman" w:eastAsia="仿宋_GB2312" w:cs="Times New Roman"/>
          <w:sz w:val="32"/>
          <w:szCs w:val="32"/>
        </w:rPr>
        <w:t>39</w:t>
      </w:r>
      <w:r>
        <w:rPr>
          <w:rFonts w:hint="eastAsia" w:ascii="Times New Roman" w:hAnsi="Times New Roman" w:eastAsia="仿宋_GB2312" w:cs="仿宋_GB2312"/>
          <w:sz w:val="32"/>
          <w:szCs w:val="32"/>
        </w:rPr>
        <w:t>场，更新健身路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径</w:t>
      </w:r>
      <w:r>
        <w:rPr>
          <w:rFonts w:ascii="Times New Roman" w:hAnsi="Times New Roman" w:eastAsia="仿宋_GB2312" w:cs="Times New Roman"/>
          <w:spacing w:val="-20"/>
          <w:sz w:val="32"/>
          <w:szCs w:val="32"/>
        </w:rPr>
        <w:t>29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处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，圆满完成辖区图书馆总分馆建设任务。</w:t>
      </w:r>
      <w:r>
        <w:rPr>
          <w:rFonts w:hint="eastAsia" w:ascii="黑体" w:hAnsi="黑体" w:eastAsia="黑体" w:cs="黑体"/>
          <w:sz w:val="32"/>
          <w:szCs w:val="32"/>
        </w:rPr>
        <w:t>健康长安深入推进，</w:t>
      </w:r>
      <w:r>
        <w:rPr>
          <w:rFonts w:ascii="Times New Roman" w:hAnsi="Times New Roman" w:eastAsia="仿宋_GB2312" w:cs="Times New Roman"/>
          <w:spacing w:val="-20"/>
          <w:sz w:val="32"/>
          <w:szCs w:val="32"/>
        </w:rPr>
        <w:t>68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家</w:t>
      </w:r>
      <w:r>
        <w:rPr>
          <w:rFonts w:hint="eastAsia" w:ascii="Times New Roman" w:hAnsi="Times New Roman" w:eastAsia="仿宋_GB2312" w:cs="仿宋_GB2312"/>
          <w:sz w:val="32"/>
          <w:szCs w:val="32"/>
        </w:rPr>
        <w:t>基层医疗机构全部完成标准化建设，打造</w:t>
      </w:r>
      <w:r>
        <w:rPr>
          <w:rFonts w:ascii="Times New Roman" w:hAnsi="Times New Roman" w:eastAsia="仿宋_GB2312" w:cs="Times New Roman"/>
          <w:sz w:val="32"/>
          <w:szCs w:val="32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家省市示范性托育试点，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家社区卫生服务中心成功获评市级首批高水平国医堂。积极推进全民健身，荣获“全国百强健走示范区”荣誉称号。</w:t>
      </w:r>
    </w:p>
    <w:p w14:paraId="1DDDB23C">
      <w:pPr>
        <w:spacing w:line="576" w:lineRule="exact"/>
        <w:ind w:firstLine="643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民生福祉稳步增进。</w:t>
      </w:r>
      <w:r>
        <w:rPr>
          <w:rFonts w:hint="eastAsia" w:ascii="仿宋_GB2312" w:hAnsi="仿宋_GB2312" w:eastAsia="仿宋_GB2312" w:cs="仿宋_GB2312"/>
          <w:sz w:val="32"/>
          <w:szCs w:val="32"/>
        </w:rPr>
        <w:t>全年民生支出</w:t>
      </w:r>
      <w:r>
        <w:rPr>
          <w:rFonts w:ascii="Times New Roman" w:hAnsi="Times New Roman" w:eastAsia="仿宋_GB2312" w:cs="Times New Roman"/>
          <w:sz w:val="32"/>
          <w:szCs w:val="32"/>
        </w:rPr>
        <w:t>46.1</w:t>
      </w:r>
      <w:r>
        <w:rPr>
          <w:rFonts w:hint="eastAsia" w:ascii="仿宋_GB2312" w:hAnsi="仿宋_GB2312" w:eastAsia="仿宋_GB2312" w:cs="仿宋_GB2312"/>
          <w:sz w:val="32"/>
          <w:szCs w:val="32"/>
        </w:rPr>
        <w:t>亿元，占总支出的</w:t>
      </w:r>
      <w:r>
        <w:rPr>
          <w:rFonts w:ascii="Times New Roman" w:hAnsi="Times New Roman" w:eastAsia="仿宋_GB2312" w:cs="Times New Roman"/>
          <w:sz w:val="32"/>
          <w:szCs w:val="32"/>
        </w:rPr>
        <w:t>85.7%</w:t>
      </w:r>
      <w:r>
        <w:rPr>
          <w:rFonts w:hint="eastAsia" w:ascii="仿宋_GB2312" w:hAnsi="仿宋_GB2312" w:eastAsia="仿宋_GB2312" w:cs="仿宋_GB2312"/>
          <w:sz w:val="32"/>
          <w:szCs w:val="32"/>
        </w:rPr>
        <w:t>，同比增长</w:t>
      </w:r>
      <w:r>
        <w:rPr>
          <w:rFonts w:ascii="Times New Roman" w:hAnsi="Times New Roman" w:eastAsia="仿宋_GB2312" w:cs="Times New Roman"/>
          <w:sz w:val="32"/>
          <w:szCs w:val="32"/>
        </w:rPr>
        <w:t>20.6%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12</w:t>
      </w:r>
      <w:r>
        <w:rPr>
          <w:rFonts w:hint="eastAsia" w:ascii="Times New Roman" w:hAnsi="Times New Roman" w:eastAsia="仿宋_GB2312" w:cs="仿宋_GB2312"/>
          <w:sz w:val="32"/>
          <w:szCs w:val="32"/>
        </w:rPr>
        <w:t>项民生工程、</w:t>
      </w:r>
      <w:r>
        <w:rPr>
          <w:rFonts w:ascii="Times New Roman" w:hAnsi="Times New Roman" w:eastAsia="仿宋_GB2312" w:cs="Times New Roman"/>
          <w:sz w:val="32"/>
          <w:szCs w:val="32"/>
        </w:rPr>
        <w:t>9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件民生实事全部如期完工。</w:t>
      </w:r>
      <w:r>
        <w:rPr>
          <w:rFonts w:hint="eastAsia" w:ascii="黑体" w:hAnsi="黑体" w:eastAsia="黑体" w:cs="黑体"/>
          <w:sz w:val="32"/>
          <w:szCs w:val="32"/>
        </w:rPr>
        <w:t>稳定就业成效显著，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新增城镇就业</w:t>
      </w:r>
      <w:r>
        <w:rPr>
          <w:rFonts w:ascii="Times New Roman" w:hAnsi="Times New Roman" w:eastAsia="仿宋_GB2312" w:cs="Times New Roman"/>
          <w:sz w:val="32"/>
          <w:szCs w:val="32"/>
        </w:rPr>
        <w:t>1.8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万人，完成职业技能培训</w:t>
      </w:r>
      <w:r>
        <w:rPr>
          <w:rFonts w:ascii="Times New Roman" w:hAnsi="Times New Roman" w:eastAsia="仿宋_GB2312" w:cs="Times New Roman"/>
          <w:sz w:val="32"/>
          <w:szCs w:val="32"/>
        </w:rPr>
        <w:t>4518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人，</w:t>
      </w:r>
      <w:r>
        <w:rPr>
          <w:rFonts w:hint="eastAsia" w:ascii="仿宋_GB2312" w:hAnsi="仿宋_GB2312" w:eastAsia="仿宋_GB2312" w:cs="仿宋_GB2312"/>
          <w:sz w:val="32"/>
          <w:szCs w:val="32"/>
        </w:rPr>
        <w:t>“零就业家庭”</w:t>
      </w:r>
      <w:r>
        <w:rPr>
          <w:rFonts w:hint="eastAsia" w:ascii="Times New Roman" w:hAnsi="Times New Roman" w:eastAsia="仿宋_GB2312" w:cs="仿宋_GB2312"/>
          <w:sz w:val="32"/>
          <w:szCs w:val="32"/>
        </w:rPr>
        <w:t>动态清零。居民人均可支配收入达到</w:t>
      </w:r>
      <w:r>
        <w:rPr>
          <w:rFonts w:ascii="Times New Roman" w:hAnsi="Times New Roman" w:eastAsia="仿宋_GB2312" w:cs="Times New Roman"/>
          <w:sz w:val="32"/>
          <w:szCs w:val="32"/>
        </w:rPr>
        <w:t>50940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元，同比增长</w:t>
      </w:r>
      <w:r>
        <w:rPr>
          <w:rFonts w:ascii="Times New Roman" w:hAnsi="Times New Roman" w:eastAsia="仿宋_GB2312" w:cs="Times New Roman"/>
          <w:sz w:val="32"/>
          <w:szCs w:val="32"/>
        </w:rPr>
        <w:t>6%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；发放失业保险</w:t>
      </w:r>
      <w:r>
        <w:rPr>
          <w:rFonts w:ascii="Times New Roman" w:hAnsi="Times New Roman" w:eastAsia="仿宋_GB2312" w:cs="Times New Roman"/>
          <w:sz w:val="32"/>
          <w:szCs w:val="32"/>
        </w:rPr>
        <w:t>827.8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万元，落实创业担保贷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款</w:t>
      </w:r>
      <w:r>
        <w:rPr>
          <w:rFonts w:ascii="Times New Roman" w:hAnsi="Times New Roman" w:eastAsia="仿宋_GB2312" w:cs="Times New Roman"/>
          <w:sz w:val="32"/>
          <w:szCs w:val="32"/>
        </w:rPr>
        <w:t>1307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万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元。</w:t>
      </w:r>
      <w:r>
        <w:rPr>
          <w:rFonts w:hint="eastAsia" w:ascii="黑体" w:hAnsi="黑体" w:eastAsia="黑体" w:cs="黑体"/>
          <w:sz w:val="32"/>
          <w:szCs w:val="32"/>
        </w:rPr>
        <w:t>养老服务扩容提质，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个项目投入运营</w:t>
      </w:r>
      <w:r>
        <w:rPr>
          <w:rFonts w:hint="eastAsia" w:eastAsia="仿宋_GB2312" w:cs="仿宋_GB2312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社区日间照料站点实现信息化全覆盖，</w:t>
      </w:r>
      <w:r>
        <w:rPr>
          <w:rFonts w:ascii="Times New Roman" w:hAnsi="Times New Roman" w:eastAsia="仿宋_GB2312" w:cs="Times New Roman"/>
          <w:sz w:val="32"/>
          <w:szCs w:val="32"/>
        </w:rPr>
        <w:t>500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张中央试点建设的家庭养老床位圆满建成。</w:t>
      </w:r>
      <w:r>
        <w:rPr>
          <w:rFonts w:hint="eastAsia" w:ascii="黑体" w:hAnsi="黑体" w:eastAsia="黑体" w:cs="黑体"/>
          <w:sz w:val="32"/>
          <w:szCs w:val="32"/>
        </w:rPr>
        <w:t>社会保障有力有效，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救助低保、特困等人员</w:t>
      </w:r>
      <w:r>
        <w:rPr>
          <w:rFonts w:ascii="Times New Roman" w:hAnsi="Times New Roman" w:eastAsia="仿宋_GB2312" w:cs="Times New Roman"/>
          <w:sz w:val="32"/>
          <w:szCs w:val="32"/>
        </w:rPr>
        <w:t>1.7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万人次，发放各类救助资金</w:t>
      </w:r>
      <w:r>
        <w:rPr>
          <w:rFonts w:ascii="Times New Roman" w:hAnsi="Times New Roman" w:eastAsia="仿宋_GB2312" w:cs="Times New Roman"/>
          <w:sz w:val="32"/>
          <w:szCs w:val="32"/>
        </w:rPr>
        <w:t>1268.1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万元。</w:t>
      </w:r>
      <w:r>
        <w:rPr>
          <w:rFonts w:ascii="Times New Roman" w:hAnsi="Times New Roman" w:eastAsia="仿宋_GB2312" w:cs="Times New Roman"/>
          <w:sz w:val="32"/>
          <w:szCs w:val="32"/>
        </w:rPr>
        <w:t>816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名残疾人落实基本康复服务，</w:t>
      </w:r>
      <w:r>
        <w:rPr>
          <w:rFonts w:ascii="Times New Roman" w:hAnsi="Times New Roman" w:eastAsia="仿宋_GB2312" w:cs="Times New Roman"/>
          <w:sz w:val="32"/>
          <w:szCs w:val="32"/>
        </w:rPr>
        <w:t>478</w:t>
      </w:r>
      <w:r>
        <w:rPr>
          <w:rFonts w:hint="eastAsia" w:ascii="Times New Roman" w:hAnsi="Times New Roman" w:eastAsia="仿宋_GB2312" w:cs="仿宋_GB2312"/>
          <w:sz w:val="32"/>
          <w:szCs w:val="32"/>
        </w:rPr>
        <w:t>名残疾人适配辅助器具。发放退役军人优抚资金</w:t>
      </w:r>
      <w:r>
        <w:rPr>
          <w:rFonts w:ascii="Times New Roman" w:hAnsi="Times New Roman" w:eastAsia="仿宋_GB2312" w:cs="Times New Roman"/>
          <w:sz w:val="32"/>
          <w:szCs w:val="32"/>
        </w:rPr>
        <w:t>3832.5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万元，落实各类补贴</w:t>
      </w:r>
      <w:r>
        <w:rPr>
          <w:rFonts w:ascii="Times New Roman" w:hAnsi="Times New Roman" w:eastAsia="仿宋_GB2312" w:cs="Times New Roman"/>
          <w:sz w:val="32"/>
          <w:szCs w:val="32"/>
        </w:rPr>
        <w:t>1926.6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万元。公共租赁住房配租</w:t>
      </w:r>
      <w:r>
        <w:rPr>
          <w:rFonts w:ascii="Times New Roman" w:hAnsi="Times New Roman" w:eastAsia="仿宋_GB2312" w:cs="Times New Roman"/>
          <w:sz w:val="32"/>
          <w:szCs w:val="32"/>
        </w:rPr>
        <w:t>430</w:t>
      </w:r>
      <w:r>
        <w:rPr>
          <w:rFonts w:hint="eastAsia" w:ascii="Times New Roman" w:hAnsi="Times New Roman" w:eastAsia="仿宋_GB2312" w:cs="仿宋_GB2312"/>
          <w:sz w:val="32"/>
          <w:szCs w:val="32"/>
        </w:rPr>
        <w:t>户，发放补贴</w:t>
      </w:r>
      <w:r>
        <w:rPr>
          <w:rFonts w:ascii="Times New Roman" w:hAnsi="Times New Roman" w:eastAsia="仿宋_GB2312" w:cs="Times New Roman"/>
          <w:sz w:val="32"/>
          <w:szCs w:val="32"/>
        </w:rPr>
        <w:t>40.5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万元。</w:t>
      </w:r>
      <w:r>
        <w:rPr>
          <w:rFonts w:ascii="Times New Roman" w:hAnsi="Times New Roman" w:eastAsia="仿宋_GB2312" w:cs="Times New Roman"/>
          <w:sz w:val="32"/>
          <w:szCs w:val="32"/>
        </w:rPr>
        <w:t>56</w:t>
      </w:r>
      <w:r>
        <w:rPr>
          <w:rFonts w:hint="eastAsia" w:ascii="Times New Roman" w:hAnsi="Times New Roman" w:eastAsia="仿宋_GB2312" w:cs="仿宋_GB2312"/>
          <w:sz w:val="32"/>
          <w:szCs w:val="32"/>
        </w:rPr>
        <w:t>栋漏雨房顶完成平改坡维修。医保参保人数达到</w:t>
      </w:r>
      <w:r>
        <w:rPr>
          <w:rFonts w:ascii="Times New Roman" w:hAnsi="Times New Roman" w:eastAsia="仿宋_GB2312" w:cs="Times New Roman"/>
          <w:sz w:val="32"/>
          <w:szCs w:val="32"/>
        </w:rPr>
        <w:t>95.3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万人，市内四区排名第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  <w:r>
        <w:rPr>
          <w:rFonts w:hint="eastAsia" w:ascii="黑体" w:hAnsi="黑体" w:eastAsia="黑体" w:cs="黑体"/>
          <w:sz w:val="32"/>
          <w:szCs w:val="32"/>
        </w:rPr>
        <w:t>配套设施提质升级，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完成</w:t>
      </w:r>
      <w:r>
        <w:rPr>
          <w:rFonts w:ascii="Times New Roman" w:hAnsi="Times New Roman" w:eastAsia="仿宋_GB2312" w:cs="Times New Roman"/>
          <w:sz w:val="32"/>
          <w:szCs w:val="32"/>
        </w:rPr>
        <w:t>15.5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公里二次管网改造、</w:t>
      </w:r>
      <w:r>
        <w:rPr>
          <w:rFonts w:ascii="Times New Roman" w:hAnsi="Times New Roman" w:eastAsia="仿宋_GB2312" w:cs="Times New Roman"/>
          <w:sz w:val="32"/>
          <w:szCs w:val="32"/>
        </w:rPr>
        <w:t>948</w:t>
      </w:r>
      <w:r>
        <w:rPr>
          <w:rFonts w:hint="eastAsia" w:ascii="Times New Roman" w:hAnsi="Times New Roman" w:eastAsia="仿宋_GB2312" w:cs="仿宋_GB2312"/>
          <w:sz w:val="32"/>
          <w:szCs w:val="32"/>
        </w:rPr>
        <w:t>户居民“串改并”工程，供热智慧平台正式启用。打造</w:t>
      </w:r>
      <w:r>
        <w:rPr>
          <w:rFonts w:ascii="Times New Roman" w:hAnsi="Times New Roman" w:eastAsia="仿宋_GB2312" w:cs="Times New Roman"/>
          <w:sz w:val="32"/>
          <w:szCs w:val="32"/>
        </w:rPr>
        <w:t>7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个“一刻钟便民生活圈”试点，书写了温暖人心的民生答卷。</w:t>
      </w:r>
    </w:p>
    <w:p w14:paraId="473352CD">
      <w:pPr>
        <w:pStyle w:val="45"/>
        <w:spacing w:line="576" w:lineRule="exact"/>
        <w:ind w:firstLine="643"/>
        <w:rPr>
          <w:rFonts w:eastAsia="仿宋_GB2312"/>
          <w:sz w:val="32"/>
          <w:szCs w:val="32"/>
        </w:rPr>
      </w:pPr>
      <w:r>
        <w:rPr>
          <w:rFonts w:hint="eastAsia" w:eastAsia="楷体_GB2312" w:cs="楷体_GB2312"/>
          <w:b/>
          <w:bCs/>
          <w:sz w:val="32"/>
          <w:szCs w:val="32"/>
        </w:rPr>
        <w:t>社会治理持续加强。</w:t>
      </w:r>
      <w:r>
        <w:rPr>
          <w:rFonts w:hint="eastAsia" w:eastAsia="仿宋_GB2312" w:cs="仿宋_GB2312"/>
          <w:sz w:val="32"/>
          <w:szCs w:val="32"/>
          <w:shd w:val="clear" w:color="auto" w:fill="FFFFFF"/>
        </w:rPr>
        <w:t>安全生产大排查大整治不断深化，重点场所火灾隐患治理稳步推进。燃气安全“百日攻坚”成效显著，</w:t>
      </w:r>
      <w:r>
        <w:rPr>
          <w:rFonts w:eastAsia="仿宋_GB2312"/>
          <w:sz w:val="32"/>
          <w:szCs w:val="32"/>
        </w:rPr>
        <w:t>35.5</w:t>
      </w:r>
      <w:r>
        <w:rPr>
          <w:rFonts w:hint="eastAsia" w:eastAsia="仿宋_GB2312" w:cs="仿宋_GB2312"/>
          <w:sz w:val="32"/>
          <w:szCs w:val="32"/>
        </w:rPr>
        <w:t>万户居民完成自闭阀安装。全力做好社会治安防控，“金盾风暴·清污”行动、“拔针”行动、“圈马</w:t>
      </w:r>
      <w:r>
        <w:rPr>
          <w:rFonts w:eastAsia="仿宋_GB2312"/>
          <w:sz w:val="32"/>
          <w:szCs w:val="32"/>
        </w:rPr>
        <w:t>365</w:t>
      </w:r>
      <w:r>
        <w:rPr>
          <w:rFonts w:hint="eastAsia" w:eastAsia="仿宋_GB2312" w:cs="仿宋_GB2312"/>
          <w:sz w:val="32"/>
          <w:szCs w:val="32"/>
        </w:rPr>
        <w:t>”追逃</w:t>
      </w:r>
      <w:r>
        <w:rPr>
          <w:rFonts w:eastAsia="仿宋_GB2312"/>
          <w:sz w:val="32"/>
          <w:szCs w:val="32"/>
          <w:shd w:val="clear" w:color="auto" w:fill="FFFFFF"/>
          <w:vertAlign w:val="superscript"/>
        </w:rPr>
        <w:t>[4]</w:t>
      </w:r>
      <w:r>
        <w:rPr>
          <w:rFonts w:hint="eastAsia" w:eastAsia="仿宋_GB2312" w:cs="仿宋_GB2312"/>
          <w:sz w:val="32"/>
          <w:szCs w:val="32"/>
        </w:rPr>
        <w:t>等专项行动综合考评均居全市第</w:t>
      </w:r>
      <w:r>
        <w:rPr>
          <w:rFonts w:eastAsia="仿宋_GB2312"/>
          <w:sz w:val="32"/>
          <w:szCs w:val="32"/>
        </w:rPr>
        <w:t>1</w:t>
      </w:r>
      <w:r>
        <w:rPr>
          <w:rFonts w:hint="eastAsia" w:eastAsia="仿宋_GB2312" w:cs="仿宋_GB2312"/>
          <w:sz w:val="32"/>
          <w:szCs w:val="32"/>
        </w:rPr>
        <w:t>；建设标准警务室</w:t>
      </w:r>
      <w:r>
        <w:rPr>
          <w:rFonts w:eastAsia="仿宋_GB2312"/>
          <w:sz w:val="32"/>
          <w:szCs w:val="32"/>
        </w:rPr>
        <w:t>122</w:t>
      </w:r>
      <w:r>
        <w:rPr>
          <w:rFonts w:hint="eastAsia" w:eastAsia="仿宋_GB2312" w:cs="仿宋_GB2312"/>
          <w:sz w:val="32"/>
          <w:szCs w:val="32"/>
        </w:rPr>
        <w:t>个，打造示范警务</w:t>
      </w:r>
      <w:r>
        <w:rPr>
          <w:rFonts w:hint="eastAsia" w:eastAsia="仿宋_GB2312" w:cs="仿宋_GB2312"/>
          <w:spacing w:val="-20"/>
          <w:sz w:val="32"/>
          <w:szCs w:val="32"/>
        </w:rPr>
        <w:t>室</w:t>
      </w:r>
      <w:r>
        <w:rPr>
          <w:rFonts w:eastAsia="仿宋_GB2312"/>
          <w:spacing w:val="-20"/>
          <w:sz w:val="32"/>
          <w:szCs w:val="32"/>
        </w:rPr>
        <w:t>16</w:t>
      </w:r>
      <w:r>
        <w:rPr>
          <w:rFonts w:hint="eastAsia" w:eastAsia="仿宋_GB2312" w:cs="仿宋_GB2312"/>
          <w:spacing w:val="-20"/>
          <w:sz w:val="32"/>
          <w:szCs w:val="32"/>
        </w:rPr>
        <w:t>个</w:t>
      </w:r>
      <w:r>
        <w:rPr>
          <w:rFonts w:hint="eastAsia" w:eastAsia="仿宋_GB2312" w:cs="仿宋_GB2312"/>
          <w:sz w:val="32"/>
          <w:szCs w:val="32"/>
        </w:rPr>
        <w:t>，“周武警务室”成为全市标杆。食品安全稳中向好，</w:t>
      </w:r>
      <w:r>
        <w:rPr>
          <w:rFonts w:eastAsia="仿宋_GB2312"/>
          <w:sz w:val="32"/>
          <w:szCs w:val="32"/>
        </w:rPr>
        <w:t>16</w:t>
      </w:r>
      <w:r>
        <w:rPr>
          <w:rFonts w:hint="eastAsia" w:eastAsia="仿宋_GB2312" w:cs="仿宋_GB2312"/>
          <w:sz w:val="32"/>
          <w:szCs w:val="32"/>
        </w:rPr>
        <w:t>家食品生产企业、</w:t>
      </w:r>
      <w:r>
        <w:rPr>
          <w:rFonts w:eastAsia="仿宋_GB2312"/>
          <w:sz w:val="32"/>
          <w:szCs w:val="32"/>
        </w:rPr>
        <w:t>3105</w:t>
      </w:r>
      <w:r>
        <w:rPr>
          <w:rFonts w:hint="eastAsia" w:eastAsia="仿宋_GB2312" w:cs="仿宋_GB2312"/>
          <w:sz w:val="32"/>
          <w:szCs w:val="32"/>
        </w:rPr>
        <w:t>家食品经营单位实现动态分类管理，争创食品安全管理示范店</w:t>
      </w:r>
      <w:r>
        <w:rPr>
          <w:rFonts w:eastAsia="仿宋_GB2312"/>
          <w:sz w:val="32"/>
          <w:szCs w:val="32"/>
        </w:rPr>
        <w:t>112</w:t>
      </w:r>
      <w:r>
        <w:rPr>
          <w:rFonts w:hint="eastAsia" w:eastAsia="仿宋_GB2312" w:cs="仿宋_GB2312"/>
          <w:sz w:val="32"/>
          <w:szCs w:val="32"/>
        </w:rPr>
        <w:t>家，</w:t>
      </w:r>
      <w:r>
        <w:rPr>
          <w:rFonts w:eastAsia="仿宋_GB2312"/>
          <w:sz w:val="32"/>
          <w:szCs w:val="32"/>
        </w:rPr>
        <w:t>8</w:t>
      </w:r>
      <w:r>
        <w:rPr>
          <w:rFonts w:hint="eastAsia" w:eastAsia="仿宋_GB2312" w:cs="仿宋_GB2312"/>
          <w:sz w:val="32"/>
          <w:szCs w:val="32"/>
        </w:rPr>
        <w:t>家单位被评为全市食品安全科普基地。积极维护消费者合法权益，办理各类投诉举报</w:t>
      </w:r>
      <w:r>
        <w:rPr>
          <w:rFonts w:eastAsia="仿宋_GB2312"/>
          <w:sz w:val="32"/>
          <w:szCs w:val="32"/>
        </w:rPr>
        <w:t>3.2</w:t>
      </w:r>
      <w:r>
        <w:rPr>
          <w:rFonts w:hint="eastAsia" w:eastAsia="仿宋_GB2312" w:cs="仿宋_GB2312"/>
          <w:sz w:val="32"/>
          <w:szCs w:val="32"/>
        </w:rPr>
        <w:t>万件，挽回经济损失</w:t>
      </w:r>
      <w:r>
        <w:rPr>
          <w:rFonts w:eastAsia="仿宋_GB2312"/>
          <w:sz w:val="32"/>
          <w:szCs w:val="32"/>
        </w:rPr>
        <w:t>5066</w:t>
      </w:r>
      <w:r>
        <w:rPr>
          <w:rFonts w:hint="eastAsia" w:eastAsia="仿宋_GB2312" w:cs="仿宋_GB2312"/>
          <w:sz w:val="32"/>
          <w:szCs w:val="32"/>
        </w:rPr>
        <w:t>万元。推动第三方介入家用汽车产品“三包”责任争议处理，成为全国首家试点。全面加大治欠保支力度，为</w:t>
      </w:r>
      <w:r>
        <w:rPr>
          <w:rFonts w:eastAsia="仿宋_GB2312"/>
          <w:sz w:val="32"/>
          <w:szCs w:val="32"/>
        </w:rPr>
        <w:t>15903</w:t>
      </w:r>
      <w:r>
        <w:rPr>
          <w:rFonts w:hint="eastAsia" w:eastAsia="仿宋_GB2312" w:cs="仿宋_GB2312"/>
          <w:sz w:val="32"/>
          <w:szCs w:val="32"/>
        </w:rPr>
        <w:t>名劳动者清偿工资</w:t>
      </w:r>
      <w:r>
        <w:rPr>
          <w:rFonts w:eastAsia="仿宋_GB2312"/>
          <w:sz w:val="32"/>
          <w:szCs w:val="32"/>
        </w:rPr>
        <w:t>2.8</w:t>
      </w:r>
      <w:r>
        <w:rPr>
          <w:rFonts w:hint="eastAsia" w:eastAsia="仿宋_GB2312" w:cs="仿宋_GB2312"/>
          <w:sz w:val="32"/>
          <w:szCs w:val="32"/>
        </w:rPr>
        <w:t>亿元。“八五”普法深入推进，社区“法律明白人”队伍实现全覆盖。网络安全经验做法在全省推广，新时代文明实践站（所）实现全覆盖，荣景园社区获评全省“社区青春行动”试点优秀等次。国防动员、双拥共建、信访稳定、外事侨务、人民防空、防汛减灾、妇女儿童、对口扶贫等各项工作都取得了新成效。</w:t>
      </w:r>
    </w:p>
    <w:p w14:paraId="46AF29B3">
      <w:pPr>
        <w:pStyle w:val="45"/>
        <w:spacing w:line="576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一年来，我们坚持把人民满意作为宗旨使命，矢志不渝守初心、转作风、强担当，勇挑重担、事争一流的进取之责更加坚定。</w:t>
      </w:r>
    </w:p>
    <w:p w14:paraId="736C20BD">
      <w:pPr>
        <w:spacing w:line="576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坚持依法行政。</w:t>
      </w:r>
      <w:r>
        <w:rPr>
          <w:rFonts w:hint="eastAsia" w:ascii="仿宋_GB2312" w:hAnsi="仿宋_GB2312" w:eastAsia="仿宋_GB2312" w:cs="仿宋_GB2312"/>
          <w:sz w:val="32"/>
          <w:szCs w:val="32"/>
        </w:rPr>
        <w:t>认真贯彻落实习近平法治思想，深入推进依法治区和法治政府建设。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“三重一大”事项坚持领导班子集体研究，重大行政决策全部落实合法性审查，权力运行更加阳光透明。政府常务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  <w:lang w:eastAsia="zh-CN"/>
        </w:rPr>
        <w:t>会议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会前学法、政府党组集中学习制度化开展，依法行政能力和水平持续提升。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审计监督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扎实推进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，依法统计全面落实，确保了各项工作在法制轨道规范运行。</w:t>
      </w:r>
    </w:p>
    <w:p w14:paraId="3201C6AB">
      <w:pPr>
        <w:spacing w:line="576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主动接受监督。</w:t>
      </w:r>
      <w:r>
        <w:rPr>
          <w:rFonts w:ascii="Times New Roman" w:hAnsi="Times New Roman" w:eastAsia="仿宋_GB2312" w:cs="Times New Roman"/>
          <w:sz w:val="32"/>
          <w:szCs w:val="32"/>
        </w:rPr>
        <w:t>82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件人大代表建议、</w:t>
      </w:r>
      <w:r>
        <w:rPr>
          <w:rFonts w:ascii="Times New Roman" w:hAnsi="Times New Roman" w:eastAsia="仿宋_GB2312" w:cs="Times New Roman"/>
          <w:sz w:val="32"/>
          <w:szCs w:val="32"/>
        </w:rPr>
        <w:t>126</w:t>
      </w:r>
      <w:r>
        <w:rPr>
          <w:rFonts w:hint="eastAsia" w:ascii="仿宋_GB2312" w:hAnsi="仿宋_GB2312" w:eastAsia="仿宋_GB2312" w:cs="仿宋_GB2312"/>
          <w:sz w:val="32"/>
          <w:szCs w:val="32"/>
        </w:rPr>
        <w:t>件政协委员提案全部办结，满意率均达</w:t>
      </w:r>
      <w:r>
        <w:rPr>
          <w:rFonts w:ascii="Times New Roman" w:hAnsi="Times New Roman" w:eastAsia="仿宋_GB2312" w:cs="Times New Roman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依法主动公开政府信息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3.1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万条，办理依申请公开案件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83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件，办结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82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件。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“双随机、一公开”联合抽查</w:t>
      </w:r>
      <w:r>
        <w:rPr>
          <w:rFonts w:ascii="Times New Roman" w:hAnsi="Times New Roman" w:eastAsia="仿宋_GB2312" w:cs="Times New Roman"/>
          <w:sz w:val="32"/>
          <w:szCs w:val="32"/>
        </w:rPr>
        <w:t>13</w:t>
      </w:r>
      <w:r>
        <w:rPr>
          <w:rFonts w:hint="eastAsia" w:ascii="Times New Roman" w:hAnsi="Times New Roman" w:eastAsia="仿宋_GB2312" w:cs="仿宋_GB2312"/>
          <w:sz w:val="32"/>
          <w:szCs w:val="32"/>
        </w:rPr>
        <w:t>批次、</w:t>
      </w:r>
      <w:r>
        <w:rPr>
          <w:rFonts w:ascii="Times New Roman" w:hAnsi="Times New Roman" w:eastAsia="仿宋_GB2312" w:cs="Times New Roman"/>
          <w:sz w:val="32"/>
          <w:szCs w:val="32"/>
        </w:rPr>
        <w:t>2219</w:t>
      </w:r>
      <w:r>
        <w:rPr>
          <w:rFonts w:hint="eastAsia" w:ascii="Times New Roman" w:hAnsi="Times New Roman" w:eastAsia="仿宋_GB2312" w:cs="仿宋_GB2312"/>
          <w:sz w:val="32"/>
          <w:szCs w:val="32"/>
        </w:rPr>
        <w:t>户，检查结果全部公开公示。全年办理</w:t>
      </w:r>
      <w:r>
        <w:rPr>
          <w:rFonts w:hint="eastAsia" w:ascii="仿宋_GB2312" w:hAnsi="仿宋_GB2312" w:eastAsia="仿宋_GB2312" w:cs="仿宋_GB2312"/>
          <w:sz w:val="32"/>
          <w:szCs w:val="32"/>
        </w:rPr>
        <w:t>市政府便民服务热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</w:rPr>
        <w:t>线</w:t>
      </w:r>
      <w:r>
        <w:rPr>
          <w:rFonts w:ascii="Times New Roman" w:hAnsi="Times New Roman" w:eastAsia="仿宋_GB2312" w:cs="Times New Roman"/>
          <w:spacing w:val="-20"/>
          <w:sz w:val="32"/>
          <w:szCs w:val="32"/>
        </w:rPr>
        <w:t>21.2</w:t>
      </w:r>
      <w:r>
        <w:rPr>
          <w:rFonts w:hint="eastAsia" w:eastAsia="仿宋_GB2312" w:cs="仿宋_GB2312"/>
          <w:spacing w:val="-20"/>
          <w:sz w:val="32"/>
          <w:szCs w:val="32"/>
        </w:rPr>
        <w:t>万</w:t>
      </w:r>
      <w:r>
        <w:rPr>
          <w:rFonts w:hint="eastAsia" w:ascii="Times New Roman" w:hAnsi="Times New Roman" w:eastAsia="仿宋_GB2312" w:cs="仿宋_GB2312"/>
          <w:sz w:val="32"/>
          <w:szCs w:val="32"/>
        </w:rPr>
        <w:t>条，按期办结率达到</w:t>
      </w:r>
      <w:r>
        <w:rPr>
          <w:rFonts w:ascii="Times New Roman" w:hAnsi="Times New Roman" w:eastAsia="仿宋_GB2312" w:cs="Times New Roman"/>
          <w:sz w:val="32"/>
          <w:szCs w:val="32"/>
        </w:rPr>
        <w:t>96%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以上；办理网民留言</w:t>
      </w:r>
      <w:r>
        <w:rPr>
          <w:rFonts w:ascii="Times New Roman" w:hAnsi="Times New Roman" w:eastAsia="仿宋_GB2312" w:cs="Times New Roman"/>
          <w:sz w:val="32"/>
          <w:szCs w:val="32"/>
        </w:rPr>
        <w:t>2268</w:t>
      </w:r>
      <w:r>
        <w:rPr>
          <w:rFonts w:hint="eastAsia" w:ascii="Times New Roman" w:hAnsi="Times New Roman" w:eastAsia="仿宋_GB2312" w:cs="仿宋_GB2312"/>
          <w:sz w:val="32"/>
          <w:szCs w:val="32"/>
        </w:rPr>
        <w:t>条，群众关切得到及时高效回应。</w:t>
      </w:r>
    </w:p>
    <w:p w14:paraId="39F6B508">
      <w:pPr>
        <w:pStyle w:val="45"/>
        <w:spacing w:line="576" w:lineRule="exact"/>
        <w:ind w:firstLine="674"/>
        <w:rPr>
          <w:rFonts w:ascii="仿宋_GB2312" w:hAnsi="仿宋_GB2312" w:eastAsia="仿宋_GB2312"/>
          <w:sz w:val="32"/>
          <w:szCs w:val="32"/>
        </w:rPr>
      </w:pPr>
      <w:r>
        <w:rPr>
          <w:rStyle w:val="26"/>
          <w:rFonts w:hint="eastAsia" w:ascii="楷体_GB2312" w:hAnsi="楷体_GB2312" w:eastAsia="楷体_GB2312" w:cs="楷体_GB2312"/>
          <w:spacing w:val="8"/>
          <w:kern w:val="0"/>
          <w:sz w:val="32"/>
          <w:szCs w:val="32"/>
        </w:rPr>
        <w:t>坚守廉洁底线。</w:t>
      </w:r>
      <w:r>
        <w:rPr>
          <w:rFonts w:hint="eastAsia" w:eastAsia="仿宋_GB2312" w:cs="仿宋_GB2312"/>
          <w:sz w:val="32"/>
          <w:szCs w:val="32"/>
        </w:rPr>
        <w:t>认真履行党风廉政建设“一岗双责”，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严格执行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《中国共产党章程》</w:t>
      </w:r>
      <w:r>
        <w:rPr>
          <w:rFonts w:hint="eastAsia" w:ascii="仿宋_GB2312" w:hAnsi="仿宋_GB2312" w:eastAsia="仿宋_GB2312" w:cs="仿宋_GB2312"/>
          <w:sz w:val="32"/>
          <w:szCs w:val="32"/>
        </w:rPr>
        <w:t>《中国共产党廉洁自律准则》《中国共产党纪律处分条例》，坚决遵守中央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八项规定</w:t>
      </w:r>
      <w:r>
        <w:rPr>
          <w:rFonts w:hint="eastAsia" w:ascii="仿宋_GB2312" w:hAnsi="仿宋_GB2312" w:eastAsia="仿宋_GB2312" w:cs="仿宋_GB2312"/>
          <w:sz w:val="32"/>
          <w:szCs w:val="32"/>
        </w:rPr>
        <w:t>，切实筑牢拒腐防变的思想防线。持续开展警示教育，督促党员干部切实汲取典型案例教训，持之以恒正风肃纪。</w:t>
      </w:r>
    </w:p>
    <w:p w14:paraId="54FD69A8">
      <w:pPr>
        <w:spacing w:line="576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各位代表！</w:t>
      </w:r>
      <w:r>
        <w:rPr>
          <w:rFonts w:hint="eastAsia" w:ascii="黑体" w:hAnsi="黑体" w:eastAsia="黑体" w:cs="黑体"/>
          <w:sz w:val="32"/>
          <w:szCs w:val="32"/>
        </w:rPr>
        <w:t>过去的一年，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我们笃定必胜信念，始终把经济增速定格在全市“第一方阵”，干出了爬坡过坎、攻城拔寨的长安奋进新气象！</w:t>
      </w:r>
      <w:r>
        <w:rPr>
          <w:rFonts w:hint="eastAsia" w:ascii="黑体" w:hAnsi="黑体" w:eastAsia="黑体" w:cs="黑体"/>
          <w:sz w:val="32"/>
          <w:szCs w:val="32"/>
        </w:rPr>
        <w:t>过去的一年，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我们发扬斗争精神，在项目现场、在拆违一线、在抗疫战场，克难奋进、锐意进取，绘就了破题前行、激越沉雄的长安建设新画卷！</w:t>
      </w:r>
      <w:r>
        <w:rPr>
          <w:rFonts w:hint="eastAsia" w:ascii="黑体" w:hAnsi="黑体" w:eastAsia="黑体" w:cs="黑体"/>
          <w:sz w:val="32"/>
          <w:szCs w:val="32"/>
        </w:rPr>
        <w:t>过去的一年，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我们坚守为民初心，兑现了一大批顺应民心的实事好事，迈进了干群一心、逐梦前行的长安崛起新征程！</w:t>
      </w:r>
      <w:r>
        <w:rPr>
          <w:rFonts w:hint="eastAsia" w:ascii="黑体" w:hAnsi="黑体" w:eastAsia="黑体" w:cs="黑体"/>
          <w:sz w:val="32"/>
          <w:szCs w:val="32"/>
        </w:rPr>
        <w:t>过去的一年，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我们激情践诺履职，奋力构建“两区三带六支撑”发展格局，办成了一大批以点带面的大事要事，先后荣获国家级荣誉</w:t>
      </w:r>
      <w:r>
        <w:rPr>
          <w:rFonts w:ascii="Times New Roman" w:hAnsi="Times New Roman" w:eastAsia="仿宋_GB2312" w:cs="Times New Roman"/>
          <w:sz w:val="32"/>
          <w:szCs w:val="32"/>
        </w:rPr>
        <w:t>9</w:t>
      </w:r>
      <w:r>
        <w:rPr>
          <w:rFonts w:hint="eastAsia" w:ascii="Times New Roman" w:hAnsi="Times New Roman" w:eastAsia="仿宋_GB2312" w:cs="仿宋_GB2312"/>
          <w:sz w:val="32"/>
          <w:szCs w:val="32"/>
        </w:rPr>
        <w:t>项，省级荣誉</w:t>
      </w:r>
      <w:r>
        <w:rPr>
          <w:rFonts w:ascii="Times New Roman" w:hAnsi="Times New Roman" w:eastAsia="仿宋_GB2312" w:cs="Times New Roman"/>
          <w:sz w:val="32"/>
          <w:szCs w:val="32"/>
        </w:rPr>
        <w:t>17</w:t>
      </w:r>
      <w:r>
        <w:rPr>
          <w:rFonts w:hint="eastAsia" w:ascii="Times New Roman" w:hAnsi="Times New Roman" w:eastAsia="仿宋_GB2312" w:cs="仿宋_GB2312"/>
          <w:sz w:val="32"/>
          <w:szCs w:val="32"/>
        </w:rPr>
        <w:t>项，市级荣誉</w:t>
      </w:r>
      <w:r>
        <w:rPr>
          <w:rFonts w:ascii="Times New Roman" w:hAnsi="Times New Roman" w:eastAsia="仿宋_GB2312" w:cs="Times New Roman"/>
          <w:sz w:val="32"/>
          <w:szCs w:val="32"/>
        </w:rPr>
        <w:t>25</w:t>
      </w:r>
      <w:r>
        <w:rPr>
          <w:rFonts w:hint="eastAsia" w:ascii="Times New Roman" w:hAnsi="Times New Roman" w:eastAsia="仿宋_GB2312" w:cs="仿宋_GB2312"/>
          <w:sz w:val="32"/>
          <w:szCs w:val="32"/>
        </w:rPr>
        <w:t>项，打开了劈波斩浪、一往无前的长安事业新天地！</w:t>
      </w:r>
    </w:p>
    <w:p w14:paraId="5F1EC2DB">
      <w:pPr>
        <w:spacing w:line="576" w:lineRule="exact"/>
        <w:ind w:firstLine="640" w:firstLineChars="200"/>
        <w:jc w:val="lef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这些成绩的取得，得益于以习近平同志为核心的党中央举旗定向、掌舵领航，成就于省市和区委科学决策、坚强领导，离不开区人大和区政协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有效监督</w:t>
      </w:r>
      <w:r>
        <w:rPr>
          <w:rFonts w:hint="eastAsia" w:ascii="仿宋_GB2312" w:hAnsi="仿宋_GB2312" w:eastAsia="仿宋_GB2312" w:cs="仿宋_GB2312"/>
          <w:sz w:val="32"/>
          <w:szCs w:val="32"/>
        </w:rPr>
        <w:t>、大力支持，归功于全区人民和社会各界苦干实干、拼搏奋斗。在此，我代表区政府，向全区人民，向人大代表、政协委员，向各民主党派、工商联、各界人士，向驻区部队官兵、政法干警和消防救援队伍指战员，向奋战在抗疫一线的医护工作者和无私奉献的广大志愿者，向所有关心支持长安区发展的同志们、朋友们，致以崇高的敬意和衷心的感谢！</w:t>
      </w:r>
    </w:p>
    <w:p w14:paraId="3235678A"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各位代表，思危方可居安，知忧才能克难！我们清醒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地</w:t>
      </w:r>
      <w:r>
        <w:rPr>
          <w:rFonts w:hint="eastAsia" w:ascii="Times New Roman" w:hAnsi="Times New Roman" w:eastAsia="仿宋_GB2312" w:cs="仿宋_GB2312"/>
          <w:sz w:val="32"/>
          <w:szCs w:val="32"/>
        </w:rPr>
        <w:t>认识到，全区经济社会发展中还存在不少困难和问题：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一是</w:t>
      </w:r>
      <w:r>
        <w:rPr>
          <w:rFonts w:hint="eastAsia" w:ascii="Times New Roman" w:hAnsi="Times New Roman" w:eastAsia="仿宋_GB2312" w:cs="仿宋_GB2312"/>
          <w:sz w:val="32"/>
          <w:szCs w:val="32"/>
        </w:rPr>
        <w:t>经济持续较快增长的拉动力还不够足，项目支撑作用不够突出，发展动能不够强劲；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二是</w:t>
      </w:r>
      <w:r>
        <w:rPr>
          <w:rFonts w:hint="eastAsia" w:ascii="Times New Roman" w:hAnsi="Times New Roman" w:eastAsia="仿宋_GB2312" w:cs="仿宋_GB2312"/>
          <w:sz w:val="32"/>
          <w:szCs w:val="32"/>
        </w:rPr>
        <w:t>营商环境还有待持续优化，主动为企业发展、为项目建设排忧解难的成效还未真正凸显；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三是</w:t>
      </w:r>
      <w:r>
        <w:rPr>
          <w:rFonts w:hint="eastAsia" w:ascii="Times New Roman" w:hAnsi="Times New Roman" w:eastAsia="仿宋_GB2312" w:cs="仿宋_GB2312"/>
          <w:sz w:val="32"/>
          <w:szCs w:val="32"/>
        </w:rPr>
        <w:t>城市建设管理精细程度还有待提升，大气治理还有不少短板，与主城区的形象地位还有差距；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四是</w:t>
      </w:r>
      <w:r>
        <w:rPr>
          <w:rFonts w:hint="eastAsia" w:ascii="Times New Roman" w:hAnsi="Times New Roman" w:eastAsia="仿宋_GB2312" w:cs="仿宋_GB2312"/>
          <w:sz w:val="32"/>
          <w:szCs w:val="32"/>
        </w:rPr>
        <w:t>优质公共服务供给与群众期盼还有差距，教育、医疗、养老等领域还存在短板，社会治理还有薄弱环节；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五是</w:t>
      </w:r>
      <w:r>
        <w:rPr>
          <w:rFonts w:hint="eastAsia" w:ascii="Times New Roman" w:hAnsi="Times New Roman" w:eastAsia="仿宋_GB2312" w:cs="仿宋_GB2312"/>
          <w:sz w:val="32"/>
          <w:szCs w:val="32"/>
        </w:rPr>
        <w:t>政府系统作风建设仍需持续发力，抓落实、重执行的能力水平仍有待继续提升。</w:t>
      </w:r>
    </w:p>
    <w:p w14:paraId="61B9B6A9">
      <w:pPr>
        <w:spacing w:line="576" w:lineRule="exact"/>
        <w:ind w:firstLine="640" w:firstLineChars="200"/>
        <w:jc w:val="lef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位代表，短板就是潜力，差距就是空间。这些问题解决了就是增长动能，抓实了就是发展后劲。长安前进的每一步，都需要我们以初心比拼、拿担当对决、用实干较量，真正以难题的破解力度提升跨越发展的速度。</w:t>
      </w:r>
    </w:p>
    <w:p w14:paraId="66624ABF">
      <w:pPr>
        <w:pStyle w:val="12"/>
        <w:spacing w:beforeLines="50" w:afterLines="50" w:line="576" w:lineRule="exact"/>
        <w:jc w:val="center"/>
        <w:rPr>
          <w:rFonts w:ascii="黑体" w:hAnsi="黑体" w:eastAsia="黑体" w:cs="Times New Roman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二、</w:t>
      </w:r>
      <w:r>
        <w:rPr>
          <w:rFonts w:ascii="Times New Roman" w:hAnsi="Times New Roman" w:eastAsia="黑体" w:cs="Times New Roman"/>
          <w:sz w:val="32"/>
          <w:szCs w:val="32"/>
          <w:shd w:val="clear" w:color="auto" w:fill="FFFFFF"/>
        </w:rPr>
        <w:t>2023</w:t>
      </w: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年目标任务和重点工作</w:t>
      </w:r>
    </w:p>
    <w:p w14:paraId="3954FEBD">
      <w:pPr>
        <w:spacing w:line="576" w:lineRule="exact"/>
        <w:ind w:firstLine="640" w:firstLineChars="200"/>
        <w:rPr>
          <w:rFonts w:ascii="楷体_GB2312" w:hAnsi="楷体_GB2312" w:eastAsia="楷体_GB2312" w:cs="Times New Roman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今年是</w:t>
      </w:r>
      <w:r>
        <w:rPr>
          <w:rFonts w:hint="eastAsia" w:ascii="Nimbus Roman No9 L" w:hAnsi="Nimbus Roman No9 L" w:eastAsia="仿宋_GB2312" w:cs="仿宋_GB2312"/>
          <w:sz w:val="32"/>
          <w:szCs w:val="32"/>
        </w:rPr>
        <w:t>全面贯彻党的二十大精神的开局之年，是推动全区经济社会超常规发展、高质量发展的关键之年。今年政府工作的总体要求是：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坚持以习近平新时代中国特色社会主义思想为指导，全面贯彻党的二十大精神和中央经济工作会议精神，认真落实省委十届三次全会、市委十一届四次全会、区委十届三次全会和省委、市委、区委经济工作会议部署，坚持稳中求进工作总基调，完整、准确、全面贯彻新发展理念，积极服务和融入新发展格局，推进中国式现代化“七个长安”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  <w:vertAlign w:val="superscript"/>
        </w:rPr>
        <w:t>[5]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场景建设，更好统筹疫情防控和经济社会发展，更好统筹发展和安全，持续优化营商环境，大力提振市场信心，突出做好稳增长、稳就业、稳物价工作，有效防范化解重大风险，奋力推动经济实现质的有效提升和量的合理增长，加快建设经济强区、美丽长安，为全面建设社会主义现代化国家开好局起好步贡献长安力量。</w:t>
      </w:r>
    </w:p>
    <w:p w14:paraId="7238FA0C">
      <w:pPr>
        <w:pStyle w:val="11"/>
        <w:spacing w:line="576" w:lineRule="exact"/>
        <w:ind w:firstLine="640" w:firstLineChars="200"/>
        <w:rPr>
          <w:rFonts w:ascii="Nimbus Roman No9 L" w:hAnsi="Nimbus Roman No9 L" w:eastAsia="仿宋_GB2312" w:cs="Times New Roman"/>
          <w:sz w:val="32"/>
          <w:szCs w:val="32"/>
        </w:rPr>
      </w:pPr>
      <w:r>
        <w:rPr>
          <w:rFonts w:hint="eastAsia" w:ascii="Nimbus Roman No9 L" w:hAnsi="Nimbus Roman No9 L" w:eastAsia="仿宋_GB2312" w:cs="仿宋_GB2312"/>
          <w:sz w:val="32"/>
          <w:szCs w:val="32"/>
        </w:rPr>
        <w:t>全区经济社会发展的主要</w:t>
      </w:r>
      <w:r>
        <w:rPr>
          <w:rFonts w:hint="eastAsia" w:ascii="Times New Roman" w:hAnsi="Times New Roman" w:eastAsia="仿宋_GB2312" w:cs="仿宋_GB2312"/>
          <w:sz w:val="32"/>
          <w:szCs w:val="32"/>
        </w:rPr>
        <w:t>预期</w:t>
      </w:r>
      <w:r>
        <w:rPr>
          <w:rFonts w:hint="eastAsia" w:ascii="Nimbus Roman No9 L" w:hAnsi="Nimbus Roman No9 L" w:eastAsia="仿宋_GB2312" w:cs="仿宋_GB2312"/>
          <w:sz w:val="32"/>
          <w:szCs w:val="32"/>
        </w:rPr>
        <w:t>目标是：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地区生产总值增长</w:t>
      </w:r>
      <w:r>
        <w:rPr>
          <w:rFonts w:ascii="Times New Roman" w:hAnsi="Times New Roman" w:eastAsia="仿宋_GB2312" w:cs="Times New Roman"/>
          <w:sz w:val="32"/>
          <w:szCs w:val="32"/>
        </w:rPr>
        <w:t>8%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以上，力争实现两位数增长；固定资产投资增长</w:t>
      </w:r>
      <w:r>
        <w:rPr>
          <w:rFonts w:ascii="Times New Roman" w:hAnsi="Times New Roman" w:eastAsia="仿宋_GB2312" w:cs="Times New Roman"/>
          <w:sz w:val="32"/>
          <w:szCs w:val="32"/>
        </w:rPr>
        <w:t>8%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以上，力争实现两位数增长；社会消费品零售总额增长</w:t>
      </w:r>
      <w:r>
        <w:rPr>
          <w:rFonts w:ascii="Times New Roman" w:hAnsi="Times New Roman" w:eastAsia="仿宋_GB2312" w:cs="Times New Roman"/>
          <w:sz w:val="32"/>
          <w:szCs w:val="32"/>
        </w:rPr>
        <w:t>8%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以上；一般公共预算收入增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长</w:t>
      </w:r>
      <w:r>
        <w:rPr>
          <w:rFonts w:ascii="Times New Roman" w:hAnsi="Times New Roman" w:eastAsia="仿宋_GB2312" w:cs="Times New Roman"/>
          <w:spacing w:val="-20"/>
          <w:sz w:val="32"/>
          <w:szCs w:val="32"/>
        </w:rPr>
        <w:t>8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左</w:t>
      </w:r>
      <w:r>
        <w:rPr>
          <w:rFonts w:hint="eastAsia" w:ascii="Times New Roman" w:hAnsi="Times New Roman" w:eastAsia="仿宋_GB2312" w:cs="仿宋_GB2312"/>
          <w:sz w:val="32"/>
          <w:szCs w:val="32"/>
        </w:rPr>
        <w:t>右；规模以上工业增加值增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长</w:t>
      </w:r>
      <w:r>
        <w:rPr>
          <w:rFonts w:ascii="Times New Roman" w:hAnsi="Times New Roman" w:eastAsia="仿宋_GB2312" w:cs="Times New Roman"/>
          <w:spacing w:val="-20"/>
          <w:sz w:val="32"/>
          <w:szCs w:val="32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左</w:t>
      </w:r>
      <w:r>
        <w:rPr>
          <w:rFonts w:hint="eastAsia" w:ascii="Times New Roman" w:hAnsi="Times New Roman" w:eastAsia="仿宋_GB2312" w:cs="仿宋_GB2312"/>
          <w:sz w:val="32"/>
          <w:szCs w:val="32"/>
        </w:rPr>
        <w:t>右；服务业增加值增长</w:t>
      </w:r>
      <w:r>
        <w:rPr>
          <w:rFonts w:ascii="Times New Roman" w:hAnsi="Times New Roman" w:eastAsia="仿宋_GB2312" w:cs="Times New Roman"/>
          <w:sz w:val="32"/>
          <w:szCs w:val="32"/>
        </w:rPr>
        <w:t>8.5%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以上；进出口总值增长</w:t>
      </w:r>
      <w:r>
        <w:rPr>
          <w:rFonts w:ascii="Times New Roman" w:hAnsi="Times New Roman" w:eastAsia="仿宋_GB2312" w:cs="Times New Roman"/>
          <w:sz w:val="32"/>
          <w:szCs w:val="32"/>
        </w:rPr>
        <w:t>8%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以上；居民人均可支配收入增长</w:t>
      </w:r>
      <w:r>
        <w:rPr>
          <w:rFonts w:ascii="Times New Roman" w:hAnsi="Times New Roman" w:eastAsia="仿宋_GB2312" w:cs="Times New Roman"/>
          <w:sz w:val="32"/>
          <w:szCs w:val="32"/>
        </w:rPr>
        <w:t>8%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3C9E23B8">
      <w:pPr>
        <w:pStyle w:val="11"/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Nimbus Roman No9 L" w:hAnsi="Nimbus Roman No9 L" w:eastAsia="仿宋_GB2312" w:cs="仿宋_GB2312"/>
          <w:sz w:val="32"/>
          <w:szCs w:val="32"/>
        </w:rPr>
        <w:t>实现上述目标，重点抓好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七</w:t>
      </w:r>
      <w:r>
        <w:rPr>
          <w:rFonts w:hint="eastAsia" w:ascii="Nimbus Roman No9 L" w:hAnsi="Nimbus Roman No9 L" w:eastAsia="仿宋_GB2312" w:cs="仿宋_GB2312"/>
          <w:sz w:val="32"/>
          <w:szCs w:val="32"/>
        </w:rPr>
        <w:t>方面工作：</w:t>
      </w:r>
    </w:p>
    <w:p w14:paraId="116474B1"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（一）向投资消费要内生动力，经济稳中有进长安要站排头、走在前</w:t>
      </w:r>
    </w:p>
    <w:p w14:paraId="1518FB0C">
      <w:pPr>
        <w:spacing w:line="576" w:lineRule="exact"/>
        <w:ind w:firstLine="643" w:firstLineChars="200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推进重点项目提速突破。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深入开展项目建设年活动，全年谋划实施项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  <w:shd w:val="clear" w:color="auto" w:fill="FFFFFF"/>
        </w:rPr>
        <w:t>目</w:t>
      </w:r>
      <w:r>
        <w:rPr>
          <w:rFonts w:ascii="Times New Roman" w:hAnsi="Times New Roman" w:eastAsia="仿宋_GB2312" w:cs="Times New Roman"/>
          <w:spacing w:val="-20"/>
          <w:sz w:val="32"/>
          <w:szCs w:val="32"/>
          <w:shd w:val="clear" w:color="auto" w:fill="FFFFFF"/>
        </w:rPr>
        <w:t>281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  <w:shd w:val="clear" w:color="auto" w:fill="FFFFFF"/>
        </w:rPr>
        <w:t>个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，总投资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2095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亿元，年内完成投资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280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亿元以上。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102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个续建项目确保按时竣工达效。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117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个拟新开工项目，力争一季度完成所有前期工作，确保上半年开工建设。</w:t>
      </w:r>
      <w:r>
        <w:rPr>
          <w:rFonts w:ascii="Times New Roman" w:hAnsi="Times New Roman" w:eastAsia="仿宋_GB2312" w:cs="Times New Roman"/>
          <w:spacing w:val="-20"/>
          <w:sz w:val="32"/>
          <w:szCs w:val="32"/>
          <w:shd w:val="clear" w:color="auto" w:fill="FFFFFF"/>
        </w:rPr>
        <w:t>33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  <w:shd w:val="clear" w:color="auto" w:fill="FFFFFF"/>
        </w:rPr>
        <w:t>个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拟落地项目、</w:t>
      </w:r>
      <w:r>
        <w:rPr>
          <w:rFonts w:ascii="Times New Roman" w:hAnsi="Times New Roman" w:eastAsia="仿宋_GB2312" w:cs="Times New Roman"/>
          <w:spacing w:val="-20"/>
          <w:sz w:val="32"/>
          <w:szCs w:val="32"/>
          <w:shd w:val="clear" w:color="auto" w:fill="FFFFFF"/>
        </w:rPr>
        <w:t>29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  <w:shd w:val="clear" w:color="auto" w:fill="FFFFFF"/>
        </w:rPr>
        <w:t>个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谋划项目力争尽早落地开工</w:t>
      </w:r>
      <w:r>
        <w:rPr>
          <w:rFonts w:hint="eastAsia" w:cs="宋体"/>
          <w:sz w:val="32"/>
          <w:szCs w:val="32"/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争列省市重点项目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15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个，确保全年完成投资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73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</w:rPr>
        <w:t>亿元以上。</w:t>
      </w:r>
      <w:r>
        <w:rPr>
          <w:rFonts w:hint="eastAsia" w:ascii="仿宋_GB2312" w:hAnsi="仿宋_GB2312" w:eastAsia="仿宋_GB2312" w:cs="仿宋_GB2312"/>
          <w:sz w:val="32"/>
          <w:szCs w:val="32"/>
        </w:rPr>
        <w:t>筹备季度项目集中开工，定期进行观摩拉练，力促</w:t>
      </w:r>
      <w:r>
        <w:rPr>
          <w:rFonts w:ascii="Times New Roman" w:hAnsi="Times New Roman" w:eastAsia="仿宋_GB2312" w:cs="Times New Roman"/>
          <w:sz w:val="32"/>
          <w:szCs w:val="32"/>
        </w:rPr>
        <w:t>98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梯次接续、压茬推进。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用足用好专项债券，确保</w:t>
      </w:r>
      <w:r>
        <w:rPr>
          <w:rFonts w:ascii="Times New Roman" w:hAnsi="Times New Roman" w:eastAsia="仿宋_GB2312" w:cs="Times New Roman"/>
          <w:sz w:val="32"/>
          <w:szCs w:val="32"/>
        </w:rPr>
        <w:t>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个项目完成投资</w:t>
      </w:r>
      <w:r>
        <w:rPr>
          <w:rFonts w:ascii="Times New Roman" w:hAnsi="Times New Roman" w:eastAsia="仿宋_GB2312" w:cs="Times New Roman"/>
          <w:sz w:val="32"/>
          <w:szCs w:val="32"/>
        </w:rPr>
        <w:t>15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亿元以上。</w:t>
      </w:r>
      <w:r>
        <w:rPr>
          <w:rFonts w:hint="eastAsia" w:ascii="仿宋_GB2312" w:hAnsi="仿宋_GB2312" w:eastAsia="仿宋_GB2312" w:cs="仿宋_GB2312"/>
          <w:sz w:val="32"/>
          <w:szCs w:val="32"/>
        </w:rPr>
        <w:t>实行重点项目“十天一例会”调度机制，定期分析研判，推动项目快建设、早见效。</w:t>
      </w:r>
    </w:p>
    <w:p w14:paraId="6138CC57">
      <w:pPr>
        <w:pStyle w:val="12"/>
        <w:spacing w:line="576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推进招商选资提质增效。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明确目标任务，年内区级领导每人至少招引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</w:t>
      </w:r>
      <w:r>
        <w:rPr>
          <w:rFonts w:ascii="Times New Roman" w:hAnsi="Times New Roman" w:eastAsia="仿宋_GB2312" w:cs="Times New Roman"/>
          <w:sz w:val="32"/>
          <w:szCs w:val="32"/>
        </w:rPr>
        <w:t>5000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万元以上产业项目，各街镇引进项目不少于</w:t>
      </w:r>
      <w:r>
        <w:rPr>
          <w:rFonts w:ascii="Times New Roman" w:hAnsi="Times New Roman" w:eastAsia="仿宋_GB2312" w:cs="Times New Roman"/>
          <w:sz w:val="32"/>
          <w:szCs w:val="32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个，主要经济部门不少于</w:t>
      </w:r>
      <w:r>
        <w:rPr>
          <w:rFonts w:ascii="Times New Roman" w:hAnsi="Times New Roman" w:eastAsia="仿宋_GB2312" w:cs="Times New Roman"/>
          <w:sz w:val="32"/>
          <w:szCs w:val="32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个，其他部门不少于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个。强化驻点招商，全年引进楼宇入驻类企业总纳税额达到</w:t>
      </w:r>
      <w:r>
        <w:rPr>
          <w:rFonts w:ascii="Times New Roman" w:hAnsi="Times New Roman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000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万元以上，引进建设类项目形成固定资产投资总额不少于</w:t>
      </w:r>
      <w:r>
        <w:rPr>
          <w:rFonts w:ascii="Times New Roman" w:hAnsi="Times New Roman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亿元。完善项目信息库，注重从驻区企业、招商平台及长安区在外企业家中精准挖掘信息，全面拓宽招商“朋友圈”。便利外商投资，落实外资准入负面清单，全年引进外资企业或项目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个以上，实际利用外资完成</w:t>
      </w:r>
      <w:r>
        <w:rPr>
          <w:rFonts w:ascii="Times New Roman" w:hAnsi="Times New Roman" w:eastAsia="仿宋_GB2312" w:cs="Times New Roman"/>
          <w:sz w:val="32"/>
          <w:szCs w:val="32"/>
        </w:rPr>
        <w:t>500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万美元以上。积极宣传推介，借助廊洽会、数博会、进博会等重大平台，打造以“常来长安”为主题的高品质专项推介</w:t>
      </w:r>
      <w:r>
        <w:rPr>
          <w:rFonts w:ascii="Times New Roman" w:hAnsi="Times New Roman" w:cs="Times New Roman"/>
          <w:sz w:val="32"/>
          <w:szCs w:val="32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场以上。善于招大引强，深化央企对接合作，引进更多二三级机构，吸引更多行业龙头企业落户长安。健全评价机制，确保招引项目亩均投资达到</w:t>
      </w:r>
      <w:r>
        <w:rPr>
          <w:rFonts w:ascii="Times New Roman" w:hAnsi="Times New Roman" w:eastAsia="仿宋_GB2312" w:cs="Times New Roman"/>
          <w:sz w:val="32"/>
          <w:szCs w:val="32"/>
        </w:rPr>
        <w:t>300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万元以上，亩均税收不少于</w:t>
      </w:r>
      <w:r>
        <w:rPr>
          <w:rFonts w:ascii="Times New Roman" w:hAnsi="Times New Roman" w:eastAsia="仿宋_GB2312" w:cs="Times New Roman"/>
          <w:sz w:val="32"/>
          <w:szCs w:val="32"/>
        </w:rPr>
        <w:t>40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。完善考核制度，健全部门和街镇捆绑招商机制，以数据评先后、按成效兑奖惩，落实“月调季评”制度，半年一算账，年底总兑现。加强队伍建设，定期开展招商知识、法律法规、谈判技巧等业务培训，全面提高综合能力。</w:t>
      </w:r>
    </w:p>
    <w:p w14:paraId="373FCCD7">
      <w:pPr>
        <w:spacing w:line="576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推进消费供给提档升级。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挖掘传统消费潜力，提振汽车等大宗消费，全年新增限上企业</w:t>
      </w:r>
      <w:r>
        <w:rPr>
          <w:rFonts w:ascii="Times New Roman" w:hAnsi="Times New Roman" w:eastAsia="仿宋_GB2312" w:cs="Times New Roman"/>
          <w:sz w:val="32"/>
          <w:szCs w:val="32"/>
        </w:rPr>
        <w:t>80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家以上，社会消费品零售总额达到</w:t>
      </w:r>
      <w:r>
        <w:rPr>
          <w:rFonts w:ascii="Times New Roman" w:hAnsi="Times New Roman" w:eastAsia="仿宋_GB2312" w:cs="Times New Roman"/>
          <w:sz w:val="32"/>
          <w:szCs w:val="32"/>
        </w:rPr>
        <w:t>430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亿元以上。培育特色商业街区，以南三条、勒泰庄里街为引领，加快打造一批地标式、网红式消费场景；完善商业配套，年内提升改造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ascii="仿宋_GB2312" w:hAnsi="仿宋_GB2312" w:eastAsia="仿宋_GB2312" w:cs="仿宋_GB2312"/>
          <w:sz w:val="32"/>
          <w:szCs w:val="32"/>
        </w:rPr>
        <w:t>-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sz w:val="32"/>
          <w:szCs w:val="32"/>
        </w:rPr>
        <w:t>条特色商业街；加大和平里商业街建设和招商力度，力争年内开门迎客。积极培育消费热点，扩大定制、体验等消费规模，支持传统商业企业加快线上线下融合发展。扩大品牌影响力，积极引进国内外知名连锁品牌，大力发展“首店经济”“国潮经济”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  <w:vertAlign w:val="superscript"/>
        </w:rPr>
        <w:t>[</w:t>
      </w:r>
      <w:r>
        <w:rPr>
          <w:rFonts w:eastAsia="仿宋_GB2312"/>
          <w:sz w:val="32"/>
          <w:szCs w:val="32"/>
          <w:shd w:val="clear" w:color="auto" w:fill="FFFFFF"/>
          <w:vertAlign w:val="superscript"/>
        </w:rPr>
        <w:t>6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  <w:vertAlign w:val="superscript"/>
        </w:rPr>
        <w:t>]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。持续激活夜经济活力，力争夜间销售额占比突破</w:t>
      </w:r>
      <w:r>
        <w:rPr>
          <w:rFonts w:ascii="Times New Roman" w:hAnsi="Times New Roman" w:eastAsia="仿宋_GB2312" w:cs="Times New Roman"/>
          <w:sz w:val="32"/>
          <w:szCs w:val="32"/>
        </w:rPr>
        <w:t>40%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。继续用好消费券等措施，全年举办各类促销活动</w:t>
      </w:r>
      <w:r>
        <w:rPr>
          <w:rFonts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场以上。激发“假日经济”“网红经济”消费活力，提升内需消费增长空间。倡导诚信经营，规范网络交易，争创省级放心消费示范单位</w:t>
      </w:r>
      <w:r>
        <w:rPr>
          <w:rFonts w:ascii="Times New Roman" w:hAnsi="Times New Roman" w:eastAsia="仿宋_GB2312" w:cs="Times New Roman"/>
          <w:sz w:val="32"/>
          <w:szCs w:val="32"/>
        </w:rPr>
        <w:t>35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家以上、市级</w:t>
      </w:r>
      <w:r>
        <w:rPr>
          <w:rFonts w:ascii="Times New Roman" w:hAnsi="Times New Roman" w:eastAsia="仿宋_GB2312" w:cs="Times New Roman"/>
          <w:sz w:val="32"/>
          <w:szCs w:val="32"/>
        </w:rPr>
        <w:t>30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家以上。坚持“房子是用来住的、不是用来炒的”定位，在妥善解决历史遗留问题基础上，支持刚性和改善性住房需求，发挥好房地产业对促进消费的重要作用。</w:t>
      </w:r>
    </w:p>
    <w:p w14:paraId="7419D18A">
      <w:pPr>
        <w:spacing w:line="576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（二）向产业升级要质量效益，做强城市经济长安要扛重担、闯新路</w:t>
      </w:r>
    </w:p>
    <w:p w14:paraId="6DA8BC17">
      <w:pPr>
        <w:spacing w:line="576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  <w:t>多措并举做优楼宇经济。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实施“楼宇经济突破行动”，推动人才、产业、资本在商务楼宇内互动耦合、加速蝶变。</w:t>
      </w:r>
      <w:r>
        <w:rPr>
          <w:rFonts w:hint="eastAsia" w:ascii="黑体" w:hAnsi="黑体" w:eastAsia="黑体" w:cs="黑体"/>
          <w:sz w:val="32"/>
          <w:szCs w:val="32"/>
        </w:rPr>
        <w:t>要集群发展一批，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结合产业功能定位，引导关联产业集聚，全年新增税收超千万楼宇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sz w:val="32"/>
          <w:szCs w:val="32"/>
        </w:rPr>
        <w:t>栋以上、亿元楼宇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栋以上。</w:t>
      </w:r>
      <w:r>
        <w:rPr>
          <w:rFonts w:hint="eastAsia" w:ascii="黑体" w:hAnsi="黑体" w:eastAsia="黑体" w:cs="黑体"/>
          <w:sz w:val="32"/>
          <w:szCs w:val="32"/>
        </w:rPr>
        <w:t>要招引落地一批，</w:t>
      </w:r>
      <w:r>
        <w:rPr>
          <w:rFonts w:hint="eastAsia" w:ascii="仿宋_GB2312" w:hAnsi="仿宋_GB2312" w:eastAsia="仿宋_GB2312" w:cs="仿宋_GB2312"/>
          <w:sz w:val="32"/>
          <w:szCs w:val="32"/>
        </w:rPr>
        <w:t>确保河北航信、邮储河北省分行尽早入驻办公，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力争保罗集团、来酷科技等企业尽快落户。</w:t>
      </w:r>
      <w:r>
        <w:rPr>
          <w:rFonts w:hint="eastAsia" w:ascii="黑体" w:hAnsi="黑体" w:eastAsia="黑体" w:cs="黑体"/>
          <w:sz w:val="32"/>
          <w:szCs w:val="32"/>
        </w:rPr>
        <w:t>要新增建设一批，</w:t>
      </w:r>
      <w:r>
        <w:rPr>
          <w:rFonts w:hint="eastAsia" w:ascii="仿宋_GB2312" w:hAnsi="仿宋_GB2312" w:eastAsia="仿宋_GB2312" w:cs="仿宋_GB2312"/>
          <w:sz w:val="32"/>
          <w:szCs w:val="32"/>
        </w:rPr>
        <w:t>长安中心写字楼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底前开工建设，瑞城中心、锦城商务等楼宇年内投入运营。</w:t>
      </w:r>
      <w:r>
        <w:rPr>
          <w:rFonts w:hint="eastAsia" w:ascii="黑体" w:hAnsi="黑体" w:eastAsia="黑体" w:cs="黑体"/>
          <w:sz w:val="32"/>
          <w:szCs w:val="32"/>
        </w:rPr>
        <w:t>要市场激活一批，</w:t>
      </w:r>
      <w:r>
        <w:rPr>
          <w:rFonts w:hint="eastAsia" w:ascii="仿宋_GB2312" w:hAnsi="仿宋_GB2312" w:eastAsia="仿宋_GB2312" w:cs="仿宋_GB2312"/>
          <w:sz w:val="32"/>
          <w:szCs w:val="32"/>
        </w:rPr>
        <w:t>“一楼一策”谋划产业、开展招商，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带动一批总部企业加快入驻，全年招引亿元项目</w:t>
      </w:r>
      <w:r>
        <w:rPr>
          <w:rFonts w:ascii="Times New Roman" w:hAnsi="Times New Roman" w:eastAsia="仿宋_GB2312" w:cs="Times New Roman"/>
          <w:sz w:val="32"/>
          <w:szCs w:val="32"/>
        </w:rPr>
        <w:t>4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个以上。</w:t>
      </w:r>
    </w:p>
    <w:p w14:paraId="6BE727DE">
      <w:pPr>
        <w:pStyle w:val="51"/>
        <w:widowControl w:val="0"/>
        <w:spacing w:line="576" w:lineRule="exact"/>
        <w:ind w:left="0"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shd w:val="clear" w:color="auto" w:fill="FFFFFF"/>
        </w:rPr>
        <w:t>多点突破做强现代商贸。</w:t>
      </w:r>
      <w:r>
        <w:rPr>
          <w:rFonts w:hint="eastAsia" w:ascii="仿宋_GB2312" w:hAnsi="仿宋_GB2312" w:eastAsia="仿宋_GB2312" w:cs="仿宋_GB2312"/>
          <w:sz w:val="32"/>
          <w:szCs w:val="32"/>
        </w:rPr>
        <w:t>稳步推进住宿、餐饮、批发、零售行业增量提质，培育壮大现代物流、科技金融、电子信息等新兴产业，全年</w:t>
      </w:r>
      <w:r>
        <w:rPr>
          <w:rFonts w:hint="eastAsia" w:ascii="Times New Roman" w:hAnsi="Times New Roman" w:eastAsia="仿宋_GB2312" w:cs="仿宋_GB2312"/>
          <w:sz w:val="32"/>
          <w:szCs w:val="32"/>
        </w:rPr>
        <w:t>新增规上服务业企业</w:t>
      </w:r>
      <w:r>
        <w:rPr>
          <w:rFonts w:ascii="Times New Roman" w:hAnsi="Times New Roman" w:eastAsia="仿宋_GB2312" w:cs="Times New Roman"/>
          <w:sz w:val="32"/>
          <w:szCs w:val="32"/>
        </w:rPr>
        <w:t>50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家以上。壮大电商经济，年内新增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个年交易额</w:t>
      </w:r>
      <w:r>
        <w:rPr>
          <w:rFonts w:ascii="Times New Roman" w:hAnsi="Times New Roman" w:eastAsia="仿宋_GB2312" w:cs="Times New Roman"/>
          <w:sz w:val="32"/>
          <w:szCs w:val="32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亿元以上电商基地，培育</w:t>
      </w:r>
      <w:r>
        <w:rPr>
          <w:rFonts w:ascii="Times New Roman" w:hAnsi="Times New Roman" w:eastAsia="仿宋_GB2312" w:cs="Times New Roman"/>
          <w:sz w:val="32"/>
          <w:szCs w:val="32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名三千万级带货主播，助推</w:t>
      </w:r>
      <w:r>
        <w:rPr>
          <w:rFonts w:ascii="Times New Roman" w:hAnsi="Times New Roman" w:eastAsia="仿宋_GB2312" w:cs="Times New Roman"/>
          <w:sz w:val="32"/>
          <w:szCs w:val="32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家以上外贸企业开展跨境电商交易。</w:t>
      </w:r>
    </w:p>
    <w:p w14:paraId="7CA2CDF9">
      <w:pPr>
        <w:pStyle w:val="51"/>
        <w:widowControl w:val="0"/>
        <w:spacing w:line="576" w:lineRule="exact"/>
        <w:ind w:left="0"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shd w:val="clear" w:color="auto" w:fill="FFFFFF"/>
        </w:rPr>
        <w:t>多管齐下做大园区经济。</w:t>
      </w:r>
      <w:r>
        <w:rPr>
          <w:rFonts w:hint="eastAsia" w:ascii="黑体" w:hAnsi="黑体" w:eastAsia="黑体" w:cs="黑体"/>
          <w:kern w:val="2"/>
          <w:sz w:val="32"/>
          <w:szCs w:val="32"/>
        </w:rPr>
        <w:t>坚持规划为先，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科学务实做好用地、环保、安全等各项规划，明确产业定位，整体成片、分期建设；整合闲散地块、空置楼宇，谋划建设一批“微园区”，打造集生产、研发、服务于一体的特色产业平台。</w:t>
      </w:r>
      <w:r>
        <w:rPr>
          <w:rFonts w:hint="eastAsia" w:ascii="黑体" w:hAnsi="黑体" w:eastAsia="黑体" w:cs="黑体"/>
          <w:kern w:val="2"/>
          <w:sz w:val="32"/>
          <w:szCs w:val="32"/>
        </w:rPr>
        <w:t>坚持项目支撑，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长安国际汽车产业园、云山科技产业园上半年开工建设，金属智慧贸易园、冷链产业园力争尽早落地。大力支持工业技改项目，抓好小升规企业培育，全年新增规上工业企业</w:t>
      </w:r>
      <w:r>
        <w:rPr>
          <w:rFonts w:ascii="Times New Roman" w:hAnsi="Times New Roman" w:eastAsia="仿宋_GB2312" w:cs="Times New Roman"/>
          <w:sz w:val="32"/>
          <w:szCs w:val="32"/>
        </w:rPr>
        <w:t>4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家以上。</w:t>
      </w:r>
      <w:r>
        <w:rPr>
          <w:rFonts w:hint="eastAsia" w:ascii="黑体" w:hAnsi="黑体" w:eastAsia="黑体" w:cs="黑体"/>
          <w:kern w:val="2"/>
          <w:sz w:val="32"/>
          <w:szCs w:val="32"/>
        </w:rPr>
        <w:t>坚持基建托底，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统筹路网、管网、水网、气网、电网建设，确保项目高效推进。</w:t>
      </w:r>
    </w:p>
    <w:p w14:paraId="2AF5AE8A">
      <w:pPr>
        <w:pStyle w:val="51"/>
        <w:widowControl w:val="0"/>
        <w:spacing w:line="576" w:lineRule="exact"/>
        <w:ind w:left="0"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shd w:val="clear" w:color="auto" w:fill="FFFFFF"/>
        </w:rPr>
        <w:t>千方百计做实金融支撑。</w:t>
      </w:r>
      <w:r>
        <w:rPr>
          <w:rFonts w:hint="eastAsia" w:ascii="仿宋_GB2312" w:hAnsi="仿宋_GB2312" w:eastAsia="仿宋_GB2312" w:cs="仿宋_GB2312"/>
          <w:sz w:val="32"/>
          <w:szCs w:val="32"/>
        </w:rPr>
        <w:t>打造长安区“金十字”金融支撑格局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  <w:vertAlign w:val="superscript"/>
        </w:rPr>
        <w:t>[7]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kern w:val="2"/>
          <w:sz w:val="32"/>
          <w:szCs w:val="32"/>
        </w:rPr>
        <w:t>建成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kern w:val="2"/>
          <w:sz w:val="32"/>
          <w:szCs w:val="32"/>
        </w:rPr>
        <w:t>座金融产业特色楼宇。</w:t>
      </w:r>
      <w:r>
        <w:rPr>
          <w:rFonts w:hint="eastAsia" w:ascii="仿宋_GB2312" w:hAnsi="仿宋_GB2312" w:eastAsia="仿宋_GB2312" w:cs="仿宋_GB2312"/>
          <w:sz w:val="32"/>
          <w:szCs w:val="32"/>
        </w:rPr>
        <w:t>成立“长安区金融服务联盟”，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力争省金融服务平台覆盖企业突</w:t>
      </w:r>
      <w:r>
        <w:rPr>
          <w:rFonts w:hint="eastAsia" w:ascii="Times New Roman" w:hAnsi="Times New Roman" w:eastAsia="仿宋_GB2312" w:cs="仿宋_GB2312"/>
          <w:spacing w:val="-20"/>
          <w:kern w:val="2"/>
          <w:sz w:val="32"/>
          <w:szCs w:val="32"/>
          <w:shd w:val="clear" w:color="auto" w:fill="FFFFFF"/>
        </w:rPr>
        <w:t>破</w:t>
      </w:r>
      <w:r>
        <w:rPr>
          <w:rFonts w:ascii="Times New Roman" w:hAnsi="Times New Roman" w:eastAsia="仿宋_GB2312" w:cs="Times New Roman"/>
          <w:spacing w:val="-20"/>
          <w:kern w:val="2"/>
          <w:sz w:val="32"/>
          <w:szCs w:val="32"/>
          <w:shd w:val="clear" w:color="auto" w:fill="FFFFFF"/>
        </w:rPr>
        <w:t>1</w:t>
      </w:r>
      <w:r>
        <w:rPr>
          <w:rFonts w:hint="eastAsia" w:ascii="Times New Roman" w:hAnsi="Times New Roman" w:eastAsia="仿宋_GB2312" w:cs="仿宋_GB2312"/>
          <w:spacing w:val="-20"/>
          <w:kern w:val="2"/>
          <w:sz w:val="32"/>
          <w:szCs w:val="32"/>
          <w:shd w:val="clear" w:color="auto" w:fill="FFFFFF"/>
        </w:rPr>
        <w:t>万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家。建立企业需求信息库，全年双向推送融资信息不少于</w:t>
      </w:r>
      <w:r>
        <w:rPr>
          <w:rFonts w:ascii="Times New Roman" w:hAnsi="Times New Roman" w:eastAsia="仿宋_GB2312" w:cs="Times New Roman"/>
          <w:sz w:val="32"/>
          <w:szCs w:val="32"/>
        </w:rPr>
        <w:t>2000</w:t>
      </w:r>
      <w:r>
        <w:rPr>
          <w:rFonts w:hint="eastAsia" w:ascii="Times New Roman" w:hAnsi="Times New Roman" w:eastAsia="仿宋_GB2312" w:cs="仿宋_GB2312"/>
          <w:sz w:val="32"/>
          <w:szCs w:val="32"/>
        </w:rPr>
        <w:t>条。</w:t>
      </w:r>
      <w:r>
        <w:rPr>
          <w:rFonts w:hint="eastAsia" w:ascii="仿宋_GB2312" w:hAnsi="仿宋_GB2312" w:eastAsia="仿宋_GB2312" w:cs="仿宋_GB2312"/>
          <w:sz w:val="32"/>
          <w:szCs w:val="32"/>
        </w:rPr>
        <w:t>量身定制各类金融产品，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通过举办银企对接等措施，力争助企融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资</w:t>
      </w:r>
      <w:r>
        <w:rPr>
          <w:rFonts w:ascii="Times New Roman" w:hAnsi="Times New Roman" w:eastAsia="仿宋_GB2312" w:cs="Times New Roman"/>
          <w:spacing w:val="-20"/>
          <w:sz w:val="32"/>
          <w:szCs w:val="32"/>
        </w:rPr>
        <w:t>20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亿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元以上。积极培育上市企业，落实激励政策，</w:t>
      </w:r>
      <w:r>
        <w:rPr>
          <w:rFonts w:hint="eastAsia" w:ascii="Times New Roman" w:hAnsi="Times New Roman" w:eastAsia="仿宋_GB2312" w:cs="仿宋_GB2312"/>
          <w:sz w:val="32"/>
          <w:szCs w:val="32"/>
          <w:lang w:val="zh-TW"/>
        </w:rPr>
        <w:t>后备库企业动态不少于</w:t>
      </w:r>
      <w:r>
        <w:rPr>
          <w:rFonts w:ascii="Times New Roman" w:hAnsi="Times New Roman" w:eastAsia="仿宋_GB2312" w:cs="Times New Roman"/>
          <w:sz w:val="32"/>
          <w:szCs w:val="32"/>
          <w:lang w:val="zh-TW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  <w:lang w:val="zh-TW"/>
        </w:rPr>
        <w:t>家，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助力企业进军资本市场。</w:t>
      </w:r>
    </w:p>
    <w:p w14:paraId="3145A447">
      <w:pPr>
        <w:spacing w:line="576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（三）向思想解放要服务提质，做优发展环境长安要勇担当、重实效</w:t>
      </w:r>
    </w:p>
    <w:p w14:paraId="18ED8694">
      <w:pPr>
        <w:shd w:val="clear" w:color="auto" w:fill="FFFFFF"/>
        <w:spacing w:line="576" w:lineRule="exact"/>
        <w:ind w:firstLine="643" w:firstLineChars="200"/>
        <w:rPr>
          <w:rFonts w:ascii="仿宋_GB2312" w:hAnsi="仿宋_GB2312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打造高效便捷的政务环境。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持续深化“放管服”改革，对没有法律法规依据的审批事项一律取消，对市场能够有效调节的审批事项一律取消，对外地行之有效的做法全面推广。持续提升政务效能，开展区域性“多评合一”，全面压缩投资项目报建审批时限；推进社会主体免费电子云章，实现更多服务事项免证办理；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对</w:t>
      </w:r>
      <w:r>
        <w:rPr>
          <w:rFonts w:ascii="Times New Roman" w:hAnsi="Times New Roman" w:eastAsia="仿宋_GB2312" w:cs="Times New Roman"/>
          <w:spacing w:val="-20"/>
          <w:sz w:val="32"/>
          <w:szCs w:val="32"/>
        </w:rPr>
        <w:t>11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高频低风险审批事项，常态化实行远程勘验。优化商事登记，依托银行网点开展就近办、自助办，打造“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15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分钟政务服务圈”。便利企业开办，全面实行公章免费刻制、营业执照免费邮寄、换证短信免费提醒等措施，最大限度便企惠企。加强智慧税务建设，推动“非接触式办税”等精细化服务落地落实。改进服务理念，在办事平台、流程、服务等方面大力实施“微创新”，在全市率先推出一批切口小、见效快的便民利企举措，“以点带面”提升企业群众获得感、满意度。</w:t>
      </w:r>
    </w:p>
    <w:p w14:paraId="5A6DBBB2">
      <w:pPr>
        <w:pStyle w:val="3"/>
        <w:spacing w:after="0" w:line="576" w:lineRule="exact"/>
        <w:ind w:left="0" w:leftChars="0" w:firstLine="643" w:firstLineChars="200"/>
        <w:rPr>
          <w:rFonts w:ascii="仿宋_GB2312" w:hAnsi="仿宋_GB2312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打造有求必应的重商环境。</w:t>
      </w:r>
      <w:r>
        <w:rPr>
          <w:rFonts w:hint="eastAsia" w:ascii="黑体" w:hAnsi="黑体" w:eastAsia="黑体" w:cs="黑体"/>
          <w:sz w:val="32"/>
          <w:szCs w:val="32"/>
        </w:rPr>
        <w:t>强化包联帮扶，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帮办企业围墙内的事，包办企业围墙外的事，全心全意提供优质服务。强化用地保障，新增用地指标优先保障重点产业和重点项目。</w:t>
      </w:r>
      <w:r>
        <w:rPr>
          <w:rFonts w:hint="eastAsia" w:ascii="黑体" w:hAnsi="黑体" w:eastAsia="黑体" w:cs="黑体"/>
          <w:sz w:val="32"/>
          <w:szCs w:val="32"/>
        </w:rPr>
        <w:t>强化政策惠企，</w:t>
      </w:r>
      <w:r>
        <w:rPr>
          <w:rFonts w:hint="eastAsia" w:ascii="仿宋_GB2312" w:hAnsi="仿宋_GB2312" w:eastAsia="仿宋_GB2312" w:cs="仿宋_GB2312"/>
          <w:sz w:val="32"/>
          <w:szCs w:val="32"/>
        </w:rPr>
        <w:t>删繁就简、条条干货，确保企业能明白、快落地；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邀请企业家参与政策制定，定期评估实施效果，适时调整延续，确保各类惠企政策更“接地气”、更可持续。</w:t>
      </w:r>
      <w:r>
        <w:rPr>
          <w:rFonts w:hint="eastAsia" w:ascii="黑体" w:hAnsi="黑体" w:eastAsia="黑体" w:cs="黑体"/>
          <w:sz w:val="32"/>
          <w:szCs w:val="32"/>
        </w:rPr>
        <w:t>强化作风建设，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落实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sz w:val="32"/>
          <w:szCs w:val="32"/>
        </w:rPr>
        <w:t>4+1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责任体系，真心实意帮助企业办实事、解难题，持续构建亲清政商关系。</w:t>
      </w:r>
    </w:p>
    <w:p w14:paraId="34B43977">
      <w:pPr>
        <w:spacing w:line="576" w:lineRule="exact"/>
        <w:ind w:firstLine="643" w:firstLineChars="200"/>
        <w:rPr>
          <w:rFonts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打造规范有序的法治环境。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坚定不移支持民营经济发展壮大，依法保护民营企业和民营企业家合法权益。激发民间投资活力，依法依规放宽市场准入，吸引更多民间资本参与重大工程和补短板项目建设。严格规范执法，认真落实“双随机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一公开”“首违不罚”等各项制度。深化信用体系建设，扎实做好信息归集、查询和修复，加强企业信用分级分类监管，打造“诚信长安”。加强平台经济、科技创新、信息安全等重点领域反垄断和反不正当竞争，落实知识产权保护，打造公平竞争的市场环境。</w:t>
      </w:r>
    </w:p>
    <w:p w14:paraId="1DAF2766">
      <w:pPr>
        <w:autoSpaceDN w:val="0"/>
        <w:spacing w:line="576" w:lineRule="exact"/>
        <w:ind w:firstLine="640" w:firstLineChars="200"/>
        <w:rPr>
          <w:rFonts w:ascii="Nimbus Roman No9 L" w:hAnsi="Nimbus Roman No9 L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（四）向科技创新要发展活力，新旧动能转换长安要提速度、增效益</w:t>
      </w:r>
    </w:p>
    <w:p w14:paraId="1F90F4B2">
      <w:pPr>
        <w:autoSpaceDN w:val="0"/>
        <w:spacing w:line="576" w:lineRule="exact"/>
        <w:ind w:firstLine="643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培育高质量创新主体。</w:t>
      </w:r>
      <w:r>
        <w:rPr>
          <w:rFonts w:hint="eastAsia" w:ascii="黑体" w:hAnsi="黑体" w:eastAsia="黑体" w:cs="黑体"/>
          <w:sz w:val="32"/>
          <w:szCs w:val="32"/>
        </w:rPr>
        <w:t>做大总量，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年内培育“瞪羚企业”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家、专精特新企业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10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家以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上；净增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科技型中小企业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家以上，总量突破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1170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家；净增高新技术企业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30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家以上，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总量突破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220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家。</w:t>
      </w:r>
      <w:r>
        <w:rPr>
          <w:rFonts w:hint="eastAsia" w:ascii="黑体" w:hAnsi="黑体" w:eastAsia="黑体" w:cs="黑体"/>
          <w:sz w:val="32"/>
          <w:szCs w:val="32"/>
        </w:rPr>
        <w:t>培育龙头，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推动常山北明、奥星制药设备等企业成长为科技领军后备培育企业，支持天皓、中融科创等科技服务企业做大做强，协助远征药业争创国家级技术中心。推进产学研用一体化创新，鼓励企业与辖区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10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家科研单位、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家高校开展联合技术攻关，提升科技成果转化力。</w:t>
      </w:r>
      <w:r>
        <w:rPr>
          <w:rFonts w:hint="eastAsia" w:ascii="黑体" w:hAnsi="黑体" w:eastAsia="黑体" w:cs="黑体"/>
          <w:sz w:val="32"/>
          <w:szCs w:val="32"/>
        </w:rPr>
        <w:t>建强载体，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推动数智产业孵化器建设，谋划筹建数字产业科创园区，加速释放发展活力。全年省级以上创新平台总量达到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84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家以上。</w:t>
      </w:r>
    </w:p>
    <w:p w14:paraId="145EC51D">
      <w:pPr>
        <w:autoSpaceDN w:val="0"/>
        <w:spacing w:line="576" w:lineRule="exact"/>
        <w:ind w:firstLine="643" w:firstLineChars="200"/>
        <w:rPr>
          <w:rFonts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建设高品质创新生态。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落实各项政策，确保科技型企业全部享受研发费用加计扣除政策，惠企总量达到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500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家以上、额度突破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4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亿元。积极争取各类资金支持，全年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申报省市科技项目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项以上。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年内全区技术合同成交总额突破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12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亿元，力争在我区设立技术合同登记站。提升科技创新能力，加强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17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项基础指标监测评价，力争全省排名进入前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10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、全市排名进入前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。深入实施知识产权战略，有效注册商标和专利数量分别增长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6%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以上。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</w:rPr>
        <w:t>深入实施标准化战略，完成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2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</w:rPr>
        <w:t>项国家级标准化试点创建，实现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5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</w:rPr>
        <w:t>项以上产品对标达标。</w:t>
      </w:r>
    </w:p>
    <w:p w14:paraId="3533948C">
      <w:pPr>
        <w:autoSpaceDN w:val="0"/>
        <w:spacing w:line="576" w:lineRule="exact"/>
        <w:ind w:firstLine="643" w:firstLineChars="200"/>
        <w:rPr>
          <w:rFonts w:ascii="仿宋_GB2312" w:hAnsi="仿宋_GB2312" w:eastAsia="仿宋_GB2312" w:cs="Times New Roman"/>
          <w:kern w:val="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集聚高水平创新人才。</w:t>
      </w:r>
      <w:r>
        <w:rPr>
          <w:rFonts w:hint="eastAsia" w:ascii="黑体" w:hAnsi="黑体" w:eastAsia="黑体" w:cs="黑体"/>
          <w:sz w:val="32"/>
          <w:szCs w:val="32"/>
        </w:rPr>
        <w:t>筑牢“抢”的意识，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借助京津冀人才智力平台，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全力推广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“假日工程师”“网络专家”等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柔性引才模式，助力企业攻克关键核心技术。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高质量做好“名校英才入石”选聘，引进一批战略科技人才、科技领军人物和创新团队。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健全科技特派员队伍，年内全区备案人数达到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30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人以上。</w:t>
      </w:r>
      <w:r>
        <w:rPr>
          <w:rFonts w:hint="eastAsia" w:ascii="黑体" w:hAnsi="黑体" w:eastAsia="黑体" w:cs="黑体"/>
          <w:sz w:val="32"/>
          <w:szCs w:val="32"/>
        </w:rPr>
        <w:t>强化“育”的举措，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深入推进“人才强区”战略，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统筹科技、教育、人才工作，健全校企协作育人、协同创新的双赢机制，培养更多“石家庄工匠”。</w:t>
      </w:r>
      <w:r>
        <w:rPr>
          <w:rFonts w:hint="eastAsia" w:ascii="黑体" w:hAnsi="黑体" w:eastAsia="黑体" w:cs="黑体"/>
          <w:sz w:val="32"/>
          <w:szCs w:val="32"/>
        </w:rPr>
        <w:t>优化“留”的环境，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大力推进青年友好型城市建设，完善升级人才绿卡，真心实意解决好人才关注的住房需求、子女入学等现实问题，营造近悦远来的浓厚氛围。</w:t>
      </w:r>
    </w:p>
    <w:p w14:paraId="1006C9D1">
      <w:pPr>
        <w:autoSpaceDN w:val="0"/>
        <w:spacing w:line="576" w:lineRule="exact"/>
        <w:ind w:firstLine="640" w:firstLineChars="200"/>
        <w:rPr>
          <w:rFonts w:ascii="仿宋_GB2312" w:hAnsi="仿宋_GB2312" w:eastAsia="仿宋_GB2312" w:cs="Times New Roman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（五）向城市更新要品质魅力，推进拥河发展长安要挑大梁、创样板</w:t>
      </w:r>
    </w:p>
    <w:p w14:paraId="0D26DF6A">
      <w:pPr>
        <w:autoSpaceDN w:val="0"/>
        <w:spacing w:line="576" w:lineRule="exact"/>
        <w:ind w:firstLine="643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加快城市更新。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以实施“</w:t>
      </w:r>
      <w:r>
        <w:rPr>
          <w:rFonts w:ascii="Times New Roman" w:hAnsi="Times New Roman" w:eastAsia="仿宋_GB2312" w:cs="Times New Roman"/>
          <w:sz w:val="32"/>
          <w:szCs w:val="32"/>
        </w:rPr>
        <w:t>6+2+2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”城市更新重点项目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  <w:vertAlign w:val="superscript"/>
        </w:rPr>
        <w:t>[</w:t>
      </w:r>
      <w:r>
        <w:rPr>
          <w:rFonts w:eastAsia="仿宋_GB2312"/>
          <w:sz w:val="32"/>
          <w:szCs w:val="32"/>
          <w:shd w:val="clear" w:color="auto" w:fill="FFFFFF"/>
          <w:vertAlign w:val="superscript"/>
        </w:rPr>
        <w:t>8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  <w:vertAlign w:val="superscript"/>
        </w:rPr>
        <w:t>]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为引领，加快城市建设步伐，提升城市形象品位。主动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服务太平河城市片区建设，统筹做好道路、地下管廊、公园绿地配套，提前开展博物馆、美术馆、音乐厅等大型城市公共文化设施的选址、土地征迁工作，打造高品质滨水城市社区。积极保障和平东路片区建设，衔接市级规划方案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完善公共服务配套，推进工业遗产保护利用和风貌整治提升，重点抓好石钢公园、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</w:rPr>
        <w:t>棉一</w:t>
      </w:r>
      <w:r>
        <w:rPr>
          <w:rFonts w:hint="eastAsia" w:ascii="仿宋_GB2312" w:hAnsi="仿宋_GB2312" w:eastAsia="仿宋_GB2312" w:cs="仿宋_GB2312"/>
          <w:sz w:val="32"/>
          <w:szCs w:val="32"/>
        </w:rPr>
        <w:t>·</w:t>
      </w:r>
      <w:r>
        <w:rPr>
          <w:rFonts w:ascii="Times New Roman" w:hAnsi="Times New Roman" w:eastAsia="仿宋_GB2312" w:cs="Times New Roman"/>
          <w:sz w:val="32"/>
          <w:szCs w:val="32"/>
        </w:rPr>
        <w:t>1953</w:t>
      </w:r>
      <w:r>
        <w:rPr>
          <w:rFonts w:hint="eastAsia" w:ascii="仿宋_GB2312" w:hAnsi="仿宋_GB2312" w:eastAsia="仿宋_GB2312" w:cs="仿宋_GB2312"/>
          <w:sz w:val="32"/>
          <w:szCs w:val="32"/>
        </w:rPr>
        <w:t>”博</w:t>
      </w:r>
      <w:r>
        <w:rPr>
          <w:rFonts w:hint="eastAsia" w:ascii="Times New Roman" w:hAnsi="Times New Roman" w:eastAsia="仿宋_GB2312" w:cs="仿宋_GB2312"/>
          <w:sz w:val="32"/>
          <w:szCs w:val="32"/>
        </w:rPr>
        <w:t>物馆等项目建设，确保片区更新改造早见成效。服务保障东垣古城遗址公园二期建设，确保早建成、早投用。抓好棚改项目推进，统筹进度、质量和安全，确保所有项目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早回迁快入住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。抓好疑难问题解决，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加快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6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个烂尾楼项目整治进度，确保按公示时间交付使用；稳步推进翟东小区、医科大学西宿舍更新改造，力争尽早完成任务。抓好群众居住环境改善，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10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月底前完成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44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个老旧小区改造。</w:t>
      </w:r>
    </w:p>
    <w:p w14:paraId="4F499033">
      <w:pPr>
        <w:autoSpaceDN w:val="0"/>
        <w:spacing w:line="576" w:lineRule="exact"/>
        <w:ind w:firstLine="643" w:firstLineChars="200"/>
        <w:rPr>
          <w:rFonts w:ascii="仿宋_GB2312" w:hAnsi="仿宋_GB2312" w:eastAsia="仿宋_GB2312" w:cs="Times New Roman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完善基础设施。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优化交通路网，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全力服务保障复兴大街和北三环市政化改造，确保</w:t>
      </w:r>
      <w:r>
        <w:rPr>
          <w:rFonts w:ascii="Times New Roman" w:hAnsi="Times New Roman" w:eastAsia="仿宋_GB2312" w:cs="Times New Roman"/>
          <w:sz w:val="32"/>
          <w:szCs w:val="32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日前竣工通车；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条城市支路续建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6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月底前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竣工，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条城市支路新建、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9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条市政道路建设力争年内通车。加强区管道路日常维护，确保设施完好率达到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95%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以上。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建设“一站三厂”，柳林铺垃圾压缩转运站、西兆通再生水厂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6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底前动工，南村地表水厂、污水处理厂力争尽早开工建设。做好供热管网“冬病夏治”，持续提升供热质量。谋划布局新能源汽车充电桩，推进公共停车位建设，持续破解停车难题。</w:t>
      </w:r>
    </w:p>
    <w:p w14:paraId="755D4FEC">
      <w:pPr>
        <w:pStyle w:val="51"/>
        <w:widowControl w:val="0"/>
        <w:spacing w:line="576" w:lineRule="exact"/>
        <w:ind w:firstLine="643" w:firstLineChars="200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强化精细管理。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持续提升城市品质，加强区管公园维护管理，因地制宜完善街道绿化，年内争创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个以</w:t>
      </w:r>
      <w:r>
        <w:rPr>
          <w:rFonts w:hint="eastAsia" w:ascii="仿宋_GB2312" w:hAnsi="仿宋_GB2312" w:eastAsia="仿宋_GB2312" w:cs="仿宋_GB2312"/>
          <w:sz w:val="32"/>
          <w:szCs w:val="32"/>
        </w:rPr>
        <w:t>上省市级园林单位（小区）。持续改善市容市貌，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动态开展私搭乱建和违章建筑专项整治，</w:t>
      </w:r>
      <w:r>
        <w:rPr>
          <w:rFonts w:hint="eastAsia" w:ascii="仿宋_GB2312" w:hAnsi="仿宋_GB2312" w:eastAsia="仿宋_GB2312" w:cs="仿宋_GB2312"/>
          <w:sz w:val="32"/>
          <w:szCs w:val="32"/>
        </w:rPr>
        <w:t>全力清理占道经营、店外摆放，扎实开展城乡垃圾集中整治，推进水洗机扫扩面提质，争创全市最洁净城区。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分类推进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43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个专业市场规划建设，确保城市更新与专业市场发展协同互促、有序共进。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持续优化管理手段，完善数字城管、智慧供热、智慧环卫平台，提升城市治理现代化水平。加强物业企业日常监管，探索实施考核评价、文明创建、红黑榜等制度，全面提升为民服务水平。</w:t>
      </w:r>
    </w:p>
    <w:p w14:paraId="01E04634">
      <w:pPr>
        <w:spacing w:line="576" w:lineRule="exact"/>
        <w:ind w:firstLine="643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推进乡村振兴。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继续实施人居环境整治提升行动，健全城乡卫生一体化长效机制，持续改善村容村貌，建设宜居宜业和美乡村。大力发展都市农业，培育壮大农业龙头企业，年内</w:t>
      </w:r>
      <w:r>
        <w:rPr>
          <w:rFonts w:hint="eastAsia" w:ascii="Times New Roman" w:hAnsi="Times New Roman" w:eastAsia="仿宋_GB2312" w:cs="仿宋_GB2312"/>
          <w:sz w:val="32"/>
          <w:szCs w:val="32"/>
        </w:rPr>
        <w:t>农业产业化经营率达到</w:t>
      </w:r>
      <w:r>
        <w:rPr>
          <w:rFonts w:ascii="Times New Roman" w:hAnsi="Times New Roman" w:eastAsia="仿宋_GB2312" w:cs="Times New Roman"/>
          <w:sz w:val="32"/>
          <w:szCs w:val="32"/>
        </w:rPr>
        <w:t>70%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。盘活可利用资源型资产，发展壮大村集体经济，年底前</w:t>
      </w:r>
      <w:r>
        <w:rPr>
          <w:rFonts w:hint="eastAsia" w:ascii="仿宋_GB2312" w:hAnsi="仿宋_GB2312" w:eastAsia="仿宋_GB2312" w:cs="仿宋_GB2312"/>
          <w:sz w:val="32"/>
          <w:szCs w:val="32"/>
        </w:rPr>
        <w:t>所有村集体经济收入达到</w:t>
      </w:r>
      <w:r>
        <w:rPr>
          <w:rFonts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万元以上。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继续做好保定易县对口帮扶，确保脱贫攻坚与乡村振兴有效衔接。</w:t>
      </w:r>
    </w:p>
    <w:p w14:paraId="5B22109A">
      <w:pPr>
        <w:autoSpaceDN w:val="0"/>
        <w:spacing w:line="576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（六）向减污降碳要环境容量，推进绿色发展长安要闯难关、做贡献</w:t>
      </w:r>
    </w:p>
    <w:p w14:paraId="1E2EBD1C">
      <w:pPr>
        <w:autoSpaceDN w:val="0"/>
        <w:spacing w:line="576" w:lineRule="exact"/>
        <w:ind w:firstLine="643" w:firstLineChars="200"/>
        <w:rPr>
          <w:rFonts w:ascii="楷体_GB2312" w:hAnsi="楷体_GB2312" w:eastAsia="楷体_GB2312" w:cs="Times New Roman"/>
          <w:b/>
          <w:bCs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抓好大气防治。</w:t>
      </w:r>
      <w:r>
        <w:rPr>
          <w:rFonts w:hint="eastAsia" w:ascii="黑体" w:hAnsi="黑体" w:eastAsia="黑体" w:cs="黑体"/>
          <w:sz w:val="32"/>
          <w:szCs w:val="32"/>
        </w:rPr>
        <w:t>坚持源头治理，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精细化管控扬尘污染、餐饮油烟、散乱污企业等各类污染源，做到标本兼治、常治长效。</w:t>
      </w:r>
      <w:r>
        <w:rPr>
          <w:rFonts w:hint="eastAsia" w:ascii="黑体" w:hAnsi="黑体" w:eastAsia="黑体" w:cs="黑体"/>
          <w:sz w:val="32"/>
          <w:szCs w:val="32"/>
        </w:rPr>
        <w:t>坚持系统治理，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统筹考虑区域特点、问题成因，推进氮氧化物、硫化物、臭氧等污染物协同管控。</w:t>
      </w:r>
      <w:r>
        <w:rPr>
          <w:rFonts w:hint="eastAsia" w:ascii="黑体" w:hAnsi="黑体" w:eastAsia="黑体" w:cs="黑体"/>
          <w:sz w:val="32"/>
          <w:szCs w:val="32"/>
        </w:rPr>
        <w:t>坚持超前治理，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稳步推进碳达峰、碳中和，持续优化产业结构、能源结构，加快新能源车辆推广应用，坚决完成年度减排目标。</w:t>
      </w:r>
      <w:r>
        <w:rPr>
          <w:rFonts w:hint="eastAsia" w:ascii="黑体" w:hAnsi="黑体" w:eastAsia="黑体" w:cs="黑体"/>
          <w:sz w:val="32"/>
          <w:szCs w:val="32"/>
        </w:rPr>
        <w:t>坚持依法治理，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大力开展企业环保绩效“升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A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晋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B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”行动，落实差异化管控措施，推动空气质量持续稳中向好。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全年空气质量综合指数确保进入全市“前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15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”，力争退出全省“后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40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”。</w:t>
      </w:r>
    </w:p>
    <w:p w14:paraId="7D117200">
      <w:pPr>
        <w:autoSpaceDN w:val="0"/>
        <w:spacing w:line="576" w:lineRule="exact"/>
        <w:ind w:firstLine="643" w:firstLineChars="200"/>
        <w:rPr>
          <w:rFonts w:ascii="仿宋_GB2312" w:hAnsi="仿宋_GB2312" w:eastAsia="仿宋_GB2312" w:cs="Times New Roman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做好水土治理。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严格落实河长制，常态化做好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55.7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公里河渠日常管护。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扎实推进滹沱河地下水源保护，科学实施生态补水工程。严格管控河流断面，确保出境水质稳定达标。强力推进地下水超采综合治理，依法有序完成自备井关停任务。加强已关停自备井监管，坚决防止停而复用。严格落实林长制，推进林业资源合理保护利用。严格建设用地土壤环境准入管理，积极推进腾退搬迁地块土壤污染调查及修复工作。常态化开展违法用地巡查整改，坚决遏制增量、消除存量。</w:t>
      </w:r>
    </w:p>
    <w:p w14:paraId="10E1305C">
      <w:pPr>
        <w:autoSpaceDN w:val="0"/>
        <w:spacing w:line="576" w:lineRule="exact"/>
        <w:ind w:firstLine="643" w:firstLineChars="200"/>
        <w:rPr>
          <w:rFonts w:ascii="仿宋_GB2312" w:hAnsi="仿宋_GB2312" w:eastAsia="仿宋_GB2312" w:cs="Times New Roman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严格执法监管。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落实网格化管理制度，坚持常态执法、专项执法、联合执法并举，对各类环境违法行为一律“零容忍”，依法依规坚决查处。聚焦重点行业和领域，严格规范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生产经营行为，力争更多企业和项目纳入“白名单”监管。</w:t>
      </w:r>
      <w:r>
        <w:rPr>
          <w:rFonts w:hint="eastAsia" w:ascii="仿宋_GB2312" w:hAnsi="仿宋_GB2312" w:eastAsia="仿宋_GB2312" w:cs="仿宋_GB2312"/>
          <w:sz w:val="32"/>
          <w:szCs w:val="32"/>
        </w:rPr>
        <w:t>对上级交办的各类问题，立行立改、举一反三，不折不扣整改到位。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强化生态环境保护队伍建设，严肃纪律规矩，提升业务能力，真正做到敢抓敢管、常管常严。</w:t>
      </w:r>
    </w:p>
    <w:p w14:paraId="08AEE6E4">
      <w:pPr>
        <w:autoSpaceDN w:val="0"/>
        <w:spacing w:line="576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（七）向共建共享要发展温度，厚植民生福祉长安要善作为、作示范</w:t>
      </w:r>
    </w:p>
    <w:p w14:paraId="060EB974">
      <w:pPr>
        <w:autoSpaceDN w:val="0"/>
        <w:spacing w:line="576" w:lineRule="exact"/>
        <w:ind w:firstLine="643" w:firstLineChars="200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实施教育事业提标工程。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优化</w:t>
      </w:r>
      <w:r>
        <w:rPr>
          <w:rFonts w:hint="eastAsia" w:ascii="仿宋_GB2312" w:hAnsi="仿宋_GB2312" w:eastAsia="仿宋_GB2312" w:cs="仿宋_GB2312"/>
          <w:sz w:val="32"/>
          <w:szCs w:val="32"/>
        </w:rPr>
        <w:t>教育资源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配置，全年新建配建幼儿园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所，创建普惠性民办幼儿园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11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所，年内普惠性幼儿园覆盖率达到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87%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以上。加快沿东小学西校区等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所学校整体修缮，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7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月底前全部完工。积极推进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93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中续建、中海云锦等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所学校配建，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6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月底前完工交付，瑞国小学新建年内主体完工。推进高中教育特色发展，打造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所课改实验校和特色示范校。有序开展劳动教育，改扩建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15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所中小学劳动教育实践基地。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加强师风师德建设，打造高素质教师队伍。</w:t>
      </w:r>
    </w:p>
    <w:p w14:paraId="3E25F6F0">
      <w:pPr>
        <w:autoSpaceDN w:val="0"/>
        <w:spacing w:line="576" w:lineRule="exact"/>
        <w:ind w:firstLine="643" w:firstLineChars="200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实施健康事业提质工程。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新冠病毒感染“乙类乙管”各项要求，持续抓好医护人员、基本药物、医疗器械等资源配置，保障好群众就医用药需求。推动分级分类诊疗网络建设，落实基层首诊制度，畅通危重患者转诊渠道。服务保障重点项目，确保</w:t>
      </w:r>
      <w:r>
        <w:rPr>
          <w:rFonts w:hint="eastAsia" w:ascii="Times New Roman" w:hAnsi="Times New Roman" w:eastAsia="仿宋_GB2312" w:cs="仿宋_GB2312"/>
          <w:sz w:val="32"/>
          <w:szCs w:val="32"/>
        </w:rPr>
        <w:t>市口腔医院整修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月底竣工，省重症肌无力医院改造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月底完工</w:t>
      </w:r>
      <w:r>
        <w:rPr>
          <w:rFonts w:hint="eastAsia" w:ascii="仿宋_GB2312" w:hAnsi="仿宋_GB2312" w:eastAsia="仿宋_GB2312" w:cs="仿宋_GB2312"/>
          <w:sz w:val="32"/>
          <w:szCs w:val="32"/>
        </w:rPr>
        <w:t>。推进国医堂（馆）扩容，积极培养中医人才、打造特色专科、丰富诊疗项目，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年内建成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家省级旗舰中医堂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推进</w:t>
      </w:r>
      <w:r>
        <w:rPr>
          <w:rFonts w:hint="eastAsia" w:ascii="仿宋_GB2312" w:hAnsi="仿宋_GB2312" w:eastAsia="仿宋_GB2312" w:cs="仿宋_GB2312"/>
          <w:sz w:val="32"/>
          <w:szCs w:val="32"/>
        </w:rPr>
        <w:t>智慧医疗提质，建设社区卫生服务中心在线服务平台，稳步开展预约就诊、视频问诊、送药上门。深化家庭医生签约服务，每万名常住人口配备全科医生人数保持在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名以上。全面理顺卫生监督职能，构建权责清晰、分工合理、运行高效的执法监管体系。加强</w:t>
      </w:r>
      <w:r>
        <w:rPr>
          <w:rFonts w:ascii="Times New Roman" w:hAnsi="Times New Roman" w:eastAsia="仿宋_GB2312" w:cs="Times New Roman"/>
          <w:sz w:val="32"/>
          <w:szCs w:val="32"/>
        </w:rPr>
        <w:t>68</w:t>
      </w:r>
      <w:r>
        <w:rPr>
          <w:rFonts w:hint="eastAsia" w:ascii="仿宋_GB2312" w:hAnsi="仿宋_GB2312" w:eastAsia="仿宋_GB2312" w:cs="仿宋_GB2312"/>
          <w:sz w:val="32"/>
          <w:szCs w:val="32"/>
        </w:rPr>
        <w:t>家卫生院（室）、社区卫生服务中心（站）日常督导考核，确保各项便民惠民举措落地落实。</w:t>
      </w:r>
    </w:p>
    <w:p w14:paraId="79CE1C06">
      <w:pPr>
        <w:autoSpaceDN w:val="0"/>
        <w:spacing w:line="576" w:lineRule="exact"/>
        <w:ind w:firstLine="643" w:firstLineChars="200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实施养老事业提能工程。</w:t>
      </w:r>
      <w:r>
        <w:rPr>
          <w:rFonts w:hint="eastAsia" w:ascii="仿宋_GB2312" w:hAnsi="仿宋_GB2312" w:eastAsia="仿宋_GB2312" w:cs="仿宋_GB2312"/>
          <w:sz w:val="32"/>
          <w:szCs w:val="32"/>
        </w:rPr>
        <w:t>规范社区养老，年内新增</w:t>
      </w:r>
      <w:r>
        <w:rPr>
          <w:rFonts w:ascii="Times New Roman" w:hAnsi="Times New Roman" w:cs="Times New Roman"/>
          <w:kern w:val="0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家区域养老服务中心；加强社区日间照料站点规范化运营，构建“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分钟养老服务圈”，打造示范站点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家以上。提升服务质量，确保星级养老机构占比突破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80%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护理型床位占比达到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60%</w:t>
      </w:r>
      <w:r>
        <w:rPr>
          <w:rFonts w:hint="eastAsia" w:ascii="仿宋_GB2312" w:hAnsi="仿宋_GB2312" w:eastAsia="仿宋_GB2312" w:cs="仿宋_GB2312"/>
          <w:sz w:val="32"/>
          <w:szCs w:val="32"/>
        </w:rPr>
        <w:t>以上。引导医疗机构强化医疗服务，确保年内所有养老服务机构具备医养结合服务能力。完善养老体系，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市第一养老院二期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月底前动工，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推进长安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99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城市康养综合体建设，</w:t>
      </w:r>
      <w:r>
        <w:rPr>
          <w:rFonts w:hint="eastAsia" w:ascii="仿宋_GB2312" w:hAnsi="仿宋_GB2312" w:eastAsia="仿宋_GB2312" w:cs="仿宋_GB2312"/>
          <w:sz w:val="32"/>
          <w:szCs w:val="32"/>
        </w:rPr>
        <w:t>力促泰康石家庄长寿社区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个谋划项目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早日落地。</w:t>
      </w:r>
    </w:p>
    <w:p w14:paraId="12A7A67D">
      <w:pPr>
        <w:autoSpaceDN w:val="0"/>
        <w:spacing w:line="576" w:lineRule="exact"/>
        <w:ind w:firstLine="643" w:firstLineChars="200"/>
        <w:rPr>
          <w:rFonts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实施文旅事业提速工程。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持续办好品牌文艺活动，年内开展惠民演出</w:t>
      </w:r>
      <w:r>
        <w:rPr>
          <w:rFonts w:ascii="Times New Roman" w:hAnsi="Times New Roman" w:eastAsia="仿宋_GB2312" w:cs="Times New Roman"/>
          <w:sz w:val="32"/>
          <w:szCs w:val="32"/>
        </w:rPr>
        <w:t>50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场以上。</w:t>
      </w:r>
      <w:r>
        <w:rPr>
          <w:rFonts w:hint="eastAsia" w:ascii="Times New Roman" w:hAnsi="Times New Roman" w:eastAsia="仿宋_GB2312" w:cs="仿宋_GB2312"/>
          <w:spacing w:val="-10"/>
          <w:sz w:val="32"/>
          <w:szCs w:val="32"/>
        </w:rPr>
        <w:t>发挥区文体中心地标作用，积极开展文化展览交流、冰雪推广论坛，全年打造精品体育赛事</w:t>
      </w:r>
      <w:r>
        <w:rPr>
          <w:rFonts w:ascii="Times New Roman" w:hAnsi="Times New Roman" w:eastAsia="仿宋_GB2312" w:cs="Times New Roman"/>
          <w:spacing w:val="-10"/>
          <w:sz w:val="32"/>
          <w:szCs w:val="32"/>
        </w:rPr>
        <w:t>20</w:t>
      </w:r>
      <w:r>
        <w:rPr>
          <w:rFonts w:hint="eastAsia" w:ascii="Times New Roman" w:hAnsi="Times New Roman" w:eastAsia="仿宋_GB2312" w:cs="仿宋_GB2312"/>
          <w:spacing w:val="-10"/>
          <w:sz w:val="32"/>
          <w:szCs w:val="32"/>
        </w:rPr>
        <w:t>场以上。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因地制宜推进健身设施更新、健身步道和球类场地建设，满足群众多层次、多元化健身需求。积极跑办全民健身中心前期手续，力争尽早开工建设。推动非物质文化遗产保护，打造具有长安特色的非遗传承队伍。深挖历史文化资源，谋划推进文旅产业发展。</w:t>
      </w:r>
    </w:p>
    <w:p w14:paraId="4C1678F0">
      <w:pPr>
        <w:autoSpaceDN w:val="0"/>
        <w:spacing w:line="576" w:lineRule="exact"/>
        <w:ind w:firstLine="643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实施民生保障提优工程。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滚动实施一批民生工程、惠民实事，力争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月底前基本完成。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做好重点群体就业，落实创业担保贷款政策，全年开展职业技能培训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4000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人次以上，新增城镇就业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1.7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万人以上。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持续规范婴幼儿照护服务，年内打造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家以上示范性托育机构。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推进养老保险精准扩面，年内城乡居民参保率达到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95%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以上。积极做好公租房实物配租、补贴发放，全年筹集保障性租赁住房房源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1000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套以上。扎实做好保交楼工作，确保房地产市场平稳健康发展。健全完善多层次救助体系，加强未成年人保护，做好低保、特困、残疾人等各类困难群体救助。完善重点群体定期巡访探视制度，做到早发现、早介入、早救助。</w:t>
      </w:r>
    </w:p>
    <w:p w14:paraId="0CD2B50F">
      <w:pPr>
        <w:autoSpaceDN w:val="0"/>
        <w:spacing w:line="576" w:lineRule="exact"/>
        <w:ind w:firstLine="643" w:firstLineChars="200"/>
        <w:rPr>
          <w:rFonts w:ascii="仿宋_GB2312" w:hAnsi="仿宋_GB2312" w:eastAsia="仿宋_GB2312" w:cs="Times New Roman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实施社会治理提升工程。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底线思维、增强斗争意识，加快风险防范从“事”到“治”的转变。深化安全生产、消防安全隐患排查，坚决遏制重特大事故发生。强化食药安全监管，营造安全放心的消费环境。加强社会治安防控，常态化开展扫黑除恶斗争，严厉打击非法集资、电信诈骗等各类违法犯罪行为。完善社会矛盾多元预防调处机制，加大征地拆迁、房地产开发、劳动者工资保障等热点问题解决力度，从根本上减少信访矛盾。做好市政府便民热线、网民留言办理工作，及时高效回应群众诉求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加强爱国主义、集体主义教育，打造精神文明建设实践新高地。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落实防灾防汛责任，强化退役军人服务保障，做好国防动员和后备力量建设，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确保社会大局和谐稳定。</w:t>
      </w:r>
    </w:p>
    <w:p w14:paraId="70DDEC73">
      <w:pPr>
        <w:autoSpaceDN w:val="0"/>
        <w:spacing w:beforeLines="50" w:afterLines="50" w:line="576" w:lineRule="exact"/>
        <w:jc w:val="center"/>
        <w:rPr>
          <w:rFonts w:ascii="黑体" w:hAnsi="黑体" w:eastAsia="黑体" w:cs="Times New Roman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三、全面加强政府自身建设</w:t>
      </w:r>
    </w:p>
    <w:p w14:paraId="1FEDEE3E"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各位代表，路虽远，行则将至；事虽难，做则必成。面对新阶段、新形势、新任务，我们将切实以习近平新时代中国特色社会主义思想为指导，时刻铭记江山就是人民、人民就是江山，严守纪律规矩，主动担当作为，加快建设人民满意政府。</w:t>
      </w:r>
    </w:p>
    <w:p w14:paraId="5AAADD93">
      <w:pPr>
        <w:spacing w:line="576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  <w:t>（一）坚持政治引领，把“忠诚”作为第一要求。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深入学习宣传贯彻党的二十大精神，深刻领悟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“两个确立”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  <w:vertAlign w:val="superscript"/>
        </w:rPr>
        <w:t>[</w:t>
      </w:r>
      <w:r>
        <w:rPr>
          <w:rFonts w:eastAsia="仿宋_GB2312"/>
          <w:sz w:val="32"/>
          <w:szCs w:val="32"/>
          <w:shd w:val="clear" w:color="auto" w:fill="FFFFFF"/>
          <w:vertAlign w:val="superscript"/>
        </w:rPr>
        <w:t>9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  <w:vertAlign w:val="superscript"/>
        </w:rPr>
        <w:t>]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的决定性意义，切实增强“四个意识”、坚定“四个自信”、做到“两个维护”。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深刻领悟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新时代十年伟大变革的里程碑意义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，善于用历史的眼光观察和分析问题，善于从讲政治的高度思考和推进工作，不折不扣贯彻落实中央、省、市和区委决策部署，用实际行动为党分忧、为国尽责、为民奉献。</w:t>
      </w:r>
    </w:p>
    <w:p w14:paraId="4C6288A7">
      <w:pPr>
        <w:spacing w:line="576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  <w:t>（二）坚持依法行政，把“法治”作为第一准则。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强化法治思维，持续加大学法、守法、用法、普法工作力度，依法依规履行政府职能。完善制度机制，严格落实重大行政决策合法性审查制度，更好发挥政府法律顾问作用，全面提高决策法治化、规范化水平。自觉接受监督，主动接受人大法律监督、政协民主监督，高质量办好人大代表建议和政协委员提案，积极接受群众监督和舆论监督。强化统计和审计监督，深入推进政务公开，依法做好行政复议、行政应诉，确保权力始终在阳光下运行。</w:t>
      </w:r>
    </w:p>
    <w:p w14:paraId="56929814">
      <w:pPr>
        <w:spacing w:line="576" w:lineRule="exact"/>
        <w:ind w:firstLine="643" w:firstLineChars="200"/>
        <w:rPr>
          <w:rFonts w:ascii="楷体_GB2312" w:hAnsi="楷体_GB2312" w:eastAsia="楷体_GB2312" w:cs="Times New Roman"/>
          <w:b/>
          <w:bCs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  <w:t>（三）坚持实干笃行，把“担当”作为第一品格。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坚决履职尽责，充分发扬斗争精神，始终做到敢字当头、实干托底，不断开创事业发展新局面。坚决提升能力，强化学习意识、做到一线实践，真正在推动经济社会发展上亮实招、出硬招。坚决务实创新，敢于打破思维定势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摆脱路径依赖，不为困难找借口、多为成功想办法。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坚决真抓实干，承诺的事一诺千金，谋定的事一以贯之，部署的事一抓到底，确保干一件成一件。</w:t>
      </w:r>
    </w:p>
    <w:p w14:paraId="543E417D">
      <w:pPr>
        <w:spacing w:line="576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  <w:t>（四）坚持从严治政，把“廉洁”作为第一底线。</w:t>
      </w: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严格落实全面从严治党主体责任，常态化开展警示教育，将廉政建设落实到政府工作全领域、全过程。认真落实中央八项规定及其实施细则精神，持之以恒正风肃纪。强化重点领域和关键环节日常监督，严肃查处群众身边的不正之风和腐败问题。坚持“过紧日子”，打好财政开支“铁算盘”，严控一般性支出，确保每一笔钱都用在刀刃上、关键处。</w:t>
      </w:r>
    </w:p>
    <w:p w14:paraId="0EAAC453"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仿宋_GB2312"/>
          <w:sz w:val="32"/>
          <w:szCs w:val="32"/>
          <w:shd w:val="clear" w:color="auto" w:fill="FFFFFF"/>
        </w:rPr>
        <w:t>各位代表，梦想承载希望，实干成就未来。让我们更加紧密团结在以习近平同志为核心的党中央周围，在区委的坚强领导下，坚定接续奋斗的信心，永葆争先进位的锐气，发扬务实重干的作风，只争朝夕、一往无前，奋力谱写经济强区、美丽长安建设的崭新篇章！</w:t>
      </w:r>
    </w:p>
    <w:p w14:paraId="432D4F2D">
      <w:pPr>
        <w:pStyle w:val="2"/>
        <w:spacing w:line="576" w:lineRule="exact"/>
        <w:rPr>
          <w:rFonts w:ascii="Times New Roman" w:hAnsi="Times New Roman" w:eastAsia="仿宋_GB2312" w:cs="Times New Roman"/>
          <w:shd w:val="clear" w:color="auto" w:fill="FFFFFF"/>
        </w:rPr>
      </w:pPr>
    </w:p>
    <w:p w14:paraId="2A1CE9D2">
      <w:pPr>
        <w:pStyle w:val="3"/>
        <w:spacing w:line="576" w:lineRule="exact"/>
        <w:rPr>
          <w:rFonts w:cs="Times New Roman"/>
          <w:sz w:val="32"/>
          <w:szCs w:val="32"/>
        </w:rPr>
      </w:pPr>
    </w:p>
    <w:p w14:paraId="072E8FFF">
      <w:pPr>
        <w:spacing w:line="576" w:lineRule="exact"/>
        <w:rPr>
          <w:rFonts w:ascii="楷体_GB2312" w:hAnsi="楷体_GB2312" w:eastAsia="楷体_GB2312" w:cs="Times New Roman"/>
          <w:b/>
          <w:bCs/>
          <w:sz w:val="32"/>
          <w:szCs w:val="32"/>
        </w:rPr>
      </w:pPr>
      <w:r>
        <w:rPr>
          <w:rFonts w:cs="Times New Roman"/>
          <w:sz w:val="32"/>
          <w:szCs w:val="32"/>
        </w:rPr>
        <w:br w:type="page"/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名词解释</w:t>
      </w:r>
    </w:p>
    <w:p w14:paraId="0619E30F"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“一小组、六专班、两包联”项目推进机制：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一小组，指成立项目建设领导小组；六专班，指“六支撑”重点产业项目分别成立一个专班，抓好推进落实；</w:t>
      </w:r>
      <w:r>
        <w:rPr>
          <w:rFonts w:hint="eastAsia" w:ascii="Times New Roman" w:hAnsi="Times New Roman" w:eastAsia="仿宋_GB2312" w:cs="仿宋_GB2312"/>
          <w:sz w:val="32"/>
          <w:szCs w:val="32"/>
          <w:lang w:val="zh-TW"/>
        </w:rPr>
        <w:t>两包联，指</w:t>
      </w:r>
      <w:r>
        <w:rPr>
          <w:rFonts w:hint="eastAsia" w:ascii="Times New Roman" w:hAnsi="Times New Roman" w:eastAsia="仿宋_GB2312" w:cs="仿宋_GB2312"/>
          <w:sz w:val="32"/>
          <w:szCs w:val="32"/>
        </w:rPr>
        <w:t>重点项目包联、重点企业包联。</w:t>
      </w:r>
    </w:p>
    <w:p w14:paraId="262B44DE"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shd w:val="clear" w:color="auto" w:fill="FFFFFF"/>
          <w:vertAlign w:val="superscript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sz w:val="32"/>
          <w:szCs w:val="32"/>
        </w:rPr>
        <w:t>4+1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责任体系：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建立“首问负责”“共同担责”“一把手主责”“一次办结”和“督考一体”的责任体系。</w:t>
      </w:r>
    </w:p>
    <w:p w14:paraId="595B9262">
      <w:pPr>
        <w:spacing w:line="576" w:lineRule="exact"/>
        <w:ind w:firstLine="640" w:firstLineChars="200"/>
        <w:rPr>
          <w:rFonts w:ascii="仿宋_GB2312" w:hAnsi="仿宋_GB2312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“双公示”：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指行政许可、行政处罚等信用信息作出决定后上网公示的制度。</w:t>
      </w:r>
    </w:p>
    <w:p w14:paraId="090CCB58"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shd w:val="clear" w:color="auto" w:fill="FFFFFF"/>
          <w:vertAlign w:val="superscript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:shd w:val="clear" w:color="auto" w:fill="FFFFFF"/>
        </w:rPr>
        <w:t>4.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“金盾风暴·清污”行动：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指“金盾风暴”严打整治系列专项行动，该行动共分为三个阶段，分别是“掸尘”“清污”“铲垢”。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拔针”行动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：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shd w:val="clear" w:color="auto" w:fill="FFFFFF"/>
        </w:rPr>
        <w:t>指严厉打击犯罪分子以吞食异物或在体内“拍针”方式逃避法律制裁的违法犯罪行为。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“圈马</w:t>
      </w:r>
      <w:r>
        <w:rPr>
          <w:rFonts w:ascii="楷体_GB2312" w:hAnsi="楷体_GB2312" w:eastAsia="楷体_GB2312" w:cs="楷体_GB2312"/>
          <w:b/>
          <w:bCs/>
          <w:sz w:val="32"/>
          <w:szCs w:val="32"/>
        </w:rPr>
        <w:t>365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”追逃：</w:t>
      </w:r>
      <w:r>
        <w:rPr>
          <w:rFonts w:ascii="Times New Roman" w:hAnsi="Times New Roman" w:eastAsia="仿宋_GB2312" w:cs="Times New Roman"/>
          <w:sz w:val="32"/>
          <w:szCs w:val="32"/>
        </w:rPr>
        <w:t>2022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年初，石家庄公安发起“圈马</w:t>
      </w:r>
      <w:r>
        <w:rPr>
          <w:rFonts w:ascii="Times New Roman" w:hAnsi="Times New Roman" w:eastAsia="仿宋_GB2312" w:cs="Times New Roman"/>
          <w:sz w:val="32"/>
          <w:szCs w:val="32"/>
        </w:rPr>
        <w:t>365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”追逃专项行动，综合运用各类技术手段和线索举报、教育规劝、研判抓捕等措施，打击严重危害社会治安和人民群众安全的网上在逃犯罪嫌疑人。</w:t>
      </w:r>
    </w:p>
    <w:p w14:paraId="649D42CA"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5.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“七个长安”：</w:t>
      </w:r>
      <w:r>
        <w:rPr>
          <w:rFonts w:ascii="Times New Roman" w:hAnsi="Times New Roman" w:eastAsia="仿宋_GB2312" w:cs="Times New Roman"/>
          <w:sz w:val="32"/>
          <w:szCs w:val="32"/>
        </w:rPr>
        <w:t>2022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>12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>15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日，区委十届三次全会提出，要打造实力长安、创新长安、兴业长安、美丽长安、文化长安、幸福长安、平安长安。</w:t>
      </w:r>
    </w:p>
    <w:p w14:paraId="4DD26E9E"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6.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“首店经济”：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首店经济是指一个区域利用特有的资源优势，吸引国内外品牌在区域首次开设门店，使品牌价值与区域资源实现最优耦合，以及由此对该区域经济发展产生积极影响的一种经济形态。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“国潮经济”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：指将传统文化与时下潮流相融合，使产品更具时尚感，满足消费者民族自信、文化认同、社会认同等本质需求，是实现“品牌力”接近或赶超国际品牌所引发的长期消费趋势。</w:t>
      </w:r>
    </w:p>
    <w:p w14:paraId="457E00FC"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7.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“金十字”金融支撑格局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：指围绕广安大街至东大街、西大街</w:t>
      </w:r>
      <w:r>
        <w:rPr>
          <w:rFonts w:ascii="Times New Roman" w:hAnsi="Times New Roman" w:eastAsia="仿宋_GB2312" w:cs="Times New Roman"/>
          <w:sz w:val="32"/>
          <w:szCs w:val="32"/>
        </w:rPr>
        <w:t>—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中山路沿线，布局推进金融产业高质量发展。</w:t>
      </w:r>
    </w:p>
    <w:p w14:paraId="4D9F11AF"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8.</w:t>
      </w: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“6+2+2”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城市更新重点项目：</w:t>
      </w:r>
      <w:r>
        <w:rPr>
          <w:rFonts w:ascii="Times New Roman" w:hAnsi="Times New Roman" w:eastAsia="仿宋_GB2312" w:cs="Times New Roman"/>
          <w:sz w:val="32"/>
          <w:szCs w:val="32"/>
        </w:rPr>
        <w:t>2022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>12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>22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日，市委经济工作会议提出要重点抓好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sz w:val="32"/>
          <w:szCs w:val="32"/>
        </w:rPr>
        <w:t>6+2+2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ascii="Times New Roman" w:hAnsi="Times New Roman" w:eastAsia="仿宋_GB2312" w:cs="仿宋_GB2312"/>
          <w:sz w:val="32"/>
          <w:szCs w:val="32"/>
        </w:rPr>
        <w:t>城市更新重点项目。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，即高铁片区、太平河片区、龙泉湖片区、留营片区、和平东路片区、东南三环片区等</w:t>
      </w:r>
      <w:r>
        <w:rPr>
          <w:rFonts w:ascii="Times New Roman" w:hAnsi="Times New Roman" w:eastAsia="仿宋_GB2312" w:cs="Times New Roman"/>
          <w:sz w:val="32"/>
          <w:szCs w:val="32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大片区；第一个“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”，即北三环市政化改造、复兴大街市政化改造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sz w:val="32"/>
          <w:szCs w:val="32"/>
        </w:rPr>
        <w:t>大工程；第二个“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”，即</w:t>
      </w:r>
      <w:r>
        <w:rPr>
          <w:rFonts w:ascii="Times New Roman" w:hAnsi="Times New Roman" w:eastAsia="仿宋_GB2312" w:cs="Times New Roman"/>
          <w:sz w:val="32"/>
          <w:szCs w:val="32"/>
        </w:rPr>
        <w:t>9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个高品质城中村改造、</w:t>
      </w:r>
      <w:r>
        <w:rPr>
          <w:rFonts w:ascii="Times New Roman" w:hAnsi="Times New Roman" w:eastAsia="仿宋_GB2312" w:cs="Times New Roman"/>
          <w:sz w:val="32"/>
          <w:szCs w:val="32"/>
        </w:rPr>
        <w:t>1975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年以前危旧住房改造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sz w:val="32"/>
          <w:szCs w:val="32"/>
        </w:rPr>
        <w:t>大试点。</w:t>
      </w:r>
    </w:p>
    <w:p w14:paraId="33967F36"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9.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两个确立：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确立习近平同志党中央的核心、全党的核心地位，确立习近平新时代中国特色社会主义思想的指导地位。</w:t>
      </w:r>
    </w:p>
    <w:p w14:paraId="6139241B"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2098" w:right="1531" w:bottom="1985" w:left="1531" w:header="851" w:footer="1418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F560D">
    <w:pPr>
      <w:pStyle w:val="18"/>
      <w:framePr w:wrap="around" w:vAnchor="text" w:hAnchor="margin" w:xAlign="outside" w:y="1"/>
      <w:rPr>
        <w:rStyle w:val="27"/>
        <w:rFonts w:ascii="宋体" w:cs="宋体"/>
        <w:sz w:val="28"/>
        <w:szCs w:val="28"/>
      </w:rPr>
    </w:pPr>
    <w:r>
      <w:rPr>
        <w:rStyle w:val="27"/>
        <w:rFonts w:ascii="宋体" w:hAnsi="宋体" w:cs="宋体"/>
        <w:sz w:val="28"/>
        <w:szCs w:val="28"/>
      </w:rPr>
      <w:t xml:space="preserve">— </w:t>
    </w:r>
    <w:r>
      <w:rPr>
        <w:rStyle w:val="27"/>
        <w:rFonts w:ascii="宋体" w:hAnsi="宋体" w:cs="宋体"/>
        <w:sz w:val="28"/>
        <w:szCs w:val="28"/>
      </w:rPr>
      <w:fldChar w:fldCharType="begin"/>
    </w:r>
    <w:r>
      <w:rPr>
        <w:rStyle w:val="27"/>
        <w:rFonts w:ascii="宋体" w:hAnsi="宋体" w:cs="宋体"/>
        <w:sz w:val="28"/>
        <w:szCs w:val="28"/>
      </w:rPr>
      <w:instrText xml:space="preserve">PAGE  </w:instrText>
    </w:r>
    <w:r>
      <w:rPr>
        <w:rStyle w:val="27"/>
        <w:rFonts w:ascii="宋体" w:hAnsi="宋体" w:cs="宋体"/>
        <w:sz w:val="28"/>
        <w:szCs w:val="28"/>
      </w:rPr>
      <w:fldChar w:fldCharType="separate"/>
    </w:r>
    <w:r>
      <w:rPr>
        <w:rStyle w:val="27"/>
        <w:rFonts w:ascii="宋体" w:hAnsi="宋体" w:cs="宋体"/>
        <w:sz w:val="28"/>
        <w:szCs w:val="28"/>
      </w:rPr>
      <w:t>25</w:t>
    </w:r>
    <w:r>
      <w:rPr>
        <w:rStyle w:val="27"/>
        <w:rFonts w:ascii="宋体" w:hAnsi="宋体" w:cs="宋体"/>
        <w:sz w:val="28"/>
        <w:szCs w:val="28"/>
      </w:rPr>
      <w:fldChar w:fldCharType="end"/>
    </w:r>
    <w:r>
      <w:rPr>
        <w:rStyle w:val="27"/>
        <w:rFonts w:ascii="宋体" w:hAnsi="宋体" w:cs="宋体"/>
        <w:sz w:val="28"/>
        <w:szCs w:val="28"/>
      </w:rPr>
      <w:t xml:space="preserve"> —</w:t>
    </w:r>
  </w:p>
  <w:p w14:paraId="61C35370">
    <w:pPr>
      <w:pStyle w:val="18"/>
      <w:ind w:right="360" w:firstLine="360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GQwMTcxMTU2MDMzNmYyMzQ0ZWU0YWEwNDg4ZWM5NGMifQ=="/>
  </w:docVars>
  <w:rsids>
    <w:rsidRoot w:val="005C699A"/>
    <w:rsid w:val="00016FC5"/>
    <w:rsid w:val="00057B50"/>
    <w:rsid w:val="000C1DFF"/>
    <w:rsid w:val="001E50AE"/>
    <w:rsid w:val="002152E0"/>
    <w:rsid w:val="002315EE"/>
    <w:rsid w:val="002C093F"/>
    <w:rsid w:val="002E5168"/>
    <w:rsid w:val="003D5AA9"/>
    <w:rsid w:val="00435FE6"/>
    <w:rsid w:val="00437EFF"/>
    <w:rsid w:val="004758EE"/>
    <w:rsid w:val="004A58ED"/>
    <w:rsid w:val="004B1EE3"/>
    <w:rsid w:val="00534AE2"/>
    <w:rsid w:val="005775FF"/>
    <w:rsid w:val="00594A81"/>
    <w:rsid w:val="005C5A5F"/>
    <w:rsid w:val="005C699A"/>
    <w:rsid w:val="005D7FA1"/>
    <w:rsid w:val="005F3C86"/>
    <w:rsid w:val="0061199A"/>
    <w:rsid w:val="00683FC4"/>
    <w:rsid w:val="0069682B"/>
    <w:rsid w:val="0075749B"/>
    <w:rsid w:val="007A37F1"/>
    <w:rsid w:val="007C3D1C"/>
    <w:rsid w:val="008335F1"/>
    <w:rsid w:val="009D2872"/>
    <w:rsid w:val="00A36118"/>
    <w:rsid w:val="00A76196"/>
    <w:rsid w:val="00B365BD"/>
    <w:rsid w:val="00B51C27"/>
    <w:rsid w:val="00B71C03"/>
    <w:rsid w:val="00B828B5"/>
    <w:rsid w:val="00BB6424"/>
    <w:rsid w:val="00BF4B5A"/>
    <w:rsid w:val="00C816DA"/>
    <w:rsid w:val="00CD73F6"/>
    <w:rsid w:val="00D016EB"/>
    <w:rsid w:val="00D275F2"/>
    <w:rsid w:val="00D66C6A"/>
    <w:rsid w:val="00E342AE"/>
    <w:rsid w:val="00E365BE"/>
    <w:rsid w:val="00E757E2"/>
    <w:rsid w:val="00EA2406"/>
    <w:rsid w:val="00ED2ECD"/>
    <w:rsid w:val="00F0538E"/>
    <w:rsid w:val="00F433F5"/>
    <w:rsid w:val="01476622"/>
    <w:rsid w:val="015B22FC"/>
    <w:rsid w:val="01F429DD"/>
    <w:rsid w:val="01F44569"/>
    <w:rsid w:val="02113401"/>
    <w:rsid w:val="026733DA"/>
    <w:rsid w:val="02DD72C3"/>
    <w:rsid w:val="02EF2F41"/>
    <w:rsid w:val="02FA1EE7"/>
    <w:rsid w:val="03110A5A"/>
    <w:rsid w:val="0333477D"/>
    <w:rsid w:val="03C75CFA"/>
    <w:rsid w:val="040226C4"/>
    <w:rsid w:val="04834057"/>
    <w:rsid w:val="04EE713F"/>
    <w:rsid w:val="05AB025E"/>
    <w:rsid w:val="05B02E92"/>
    <w:rsid w:val="05F95434"/>
    <w:rsid w:val="064F6712"/>
    <w:rsid w:val="06697A83"/>
    <w:rsid w:val="06B25505"/>
    <w:rsid w:val="06E83B82"/>
    <w:rsid w:val="06F150EC"/>
    <w:rsid w:val="072D10E4"/>
    <w:rsid w:val="07B320B0"/>
    <w:rsid w:val="07B73DAC"/>
    <w:rsid w:val="07D16C54"/>
    <w:rsid w:val="08007C7C"/>
    <w:rsid w:val="080436F5"/>
    <w:rsid w:val="080B1582"/>
    <w:rsid w:val="08553358"/>
    <w:rsid w:val="08612EA0"/>
    <w:rsid w:val="08C07DDD"/>
    <w:rsid w:val="08E21D37"/>
    <w:rsid w:val="090C765B"/>
    <w:rsid w:val="092526D9"/>
    <w:rsid w:val="092A3A9D"/>
    <w:rsid w:val="09B0200F"/>
    <w:rsid w:val="0A114D16"/>
    <w:rsid w:val="0A213A1B"/>
    <w:rsid w:val="0A647E36"/>
    <w:rsid w:val="0A90419E"/>
    <w:rsid w:val="0AC434B6"/>
    <w:rsid w:val="0AEC0B08"/>
    <w:rsid w:val="0B137E4B"/>
    <w:rsid w:val="0B267626"/>
    <w:rsid w:val="0B7703EE"/>
    <w:rsid w:val="0BA80E59"/>
    <w:rsid w:val="0BDF3EF7"/>
    <w:rsid w:val="0C3244E1"/>
    <w:rsid w:val="0CBA5566"/>
    <w:rsid w:val="0CBE7446"/>
    <w:rsid w:val="0CEE295F"/>
    <w:rsid w:val="0D74522C"/>
    <w:rsid w:val="0DAF253A"/>
    <w:rsid w:val="0DC0375D"/>
    <w:rsid w:val="0E490FB1"/>
    <w:rsid w:val="0E623B0F"/>
    <w:rsid w:val="0EBA3887"/>
    <w:rsid w:val="0EE03683"/>
    <w:rsid w:val="0F1C0324"/>
    <w:rsid w:val="0FB615F2"/>
    <w:rsid w:val="10330189"/>
    <w:rsid w:val="10557A08"/>
    <w:rsid w:val="106A41B5"/>
    <w:rsid w:val="108D6981"/>
    <w:rsid w:val="10AC2B31"/>
    <w:rsid w:val="11557F82"/>
    <w:rsid w:val="116307B4"/>
    <w:rsid w:val="117777BB"/>
    <w:rsid w:val="11834A53"/>
    <w:rsid w:val="11A24916"/>
    <w:rsid w:val="11F50019"/>
    <w:rsid w:val="12CB3FC1"/>
    <w:rsid w:val="12F71350"/>
    <w:rsid w:val="13016D7D"/>
    <w:rsid w:val="13243AE8"/>
    <w:rsid w:val="134C325C"/>
    <w:rsid w:val="13956719"/>
    <w:rsid w:val="13965C6F"/>
    <w:rsid w:val="13D21467"/>
    <w:rsid w:val="140C68C4"/>
    <w:rsid w:val="14220F61"/>
    <w:rsid w:val="148343C3"/>
    <w:rsid w:val="14FB2941"/>
    <w:rsid w:val="151D7069"/>
    <w:rsid w:val="152038FA"/>
    <w:rsid w:val="152D1F60"/>
    <w:rsid w:val="154C6B2D"/>
    <w:rsid w:val="15692D9E"/>
    <w:rsid w:val="160E5097"/>
    <w:rsid w:val="163B5A93"/>
    <w:rsid w:val="16422CA0"/>
    <w:rsid w:val="168D1353"/>
    <w:rsid w:val="16A6307F"/>
    <w:rsid w:val="16BF1D8C"/>
    <w:rsid w:val="171C0A44"/>
    <w:rsid w:val="1775102A"/>
    <w:rsid w:val="17AB6CC2"/>
    <w:rsid w:val="17CB4ECC"/>
    <w:rsid w:val="17CF0F2B"/>
    <w:rsid w:val="1826043A"/>
    <w:rsid w:val="1834072D"/>
    <w:rsid w:val="18A9040B"/>
    <w:rsid w:val="18AB3D61"/>
    <w:rsid w:val="18AD5534"/>
    <w:rsid w:val="18DE2A08"/>
    <w:rsid w:val="18EE62CB"/>
    <w:rsid w:val="193F32F4"/>
    <w:rsid w:val="19774213"/>
    <w:rsid w:val="19973B92"/>
    <w:rsid w:val="199B1B44"/>
    <w:rsid w:val="1A0C15C2"/>
    <w:rsid w:val="1A945E30"/>
    <w:rsid w:val="1AA73153"/>
    <w:rsid w:val="1ADC6CAD"/>
    <w:rsid w:val="1B2F1F79"/>
    <w:rsid w:val="1B4F1FED"/>
    <w:rsid w:val="1B6855A4"/>
    <w:rsid w:val="1BA13240"/>
    <w:rsid w:val="1BDE7049"/>
    <w:rsid w:val="1BFA4EE2"/>
    <w:rsid w:val="1C4B4131"/>
    <w:rsid w:val="1C6471F7"/>
    <w:rsid w:val="1C747DE4"/>
    <w:rsid w:val="1CCD1B16"/>
    <w:rsid w:val="1CD41354"/>
    <w:rsid w:val="1D1E5CBF"/>
    <w:rsid w:val="1D2520D7"/>
    <w:rsid w:val="1D271481"/>
    <w:rsid w:val="1D826B5D"/>
    <w:rsid w:val="1DCB5808"/>
    <w:rsid w:val="1DDD66D1"/>
    <w:rsid w:val="1DED660C"/>
    <w:rsid w:val="1E66354D"/>
    <w:rsid w:val="1E93728B"/>
    <w:rsid w:val="1EB30E98"/>
    <w:rsid w:val="1EE515C5"/>
    <w:rsid w:val="1EE607DE"/>
    <w:rsid w:val="1F2F65F4"/>
    <w:rsid w:val="1F4F408B"/>
    <w:rsid w:val="1F720627"/>
    <w:rsid w:val="1F755437"/>
    <w:rsid w:val="1FCB7348"/>
    <w:rsid w:val="1FDA13B6"/>
    <w:rsid w:val="20275F76"/>
    <w:rsid w:val="2068275D"/>
    <w:rsid w:val="20A20390"/>
    <w:rsid w:val="20B177DA"/>
    <w:rsid w:val="20CC7DF4"/>
    <w:rsid w:val="20E6040B"/>
    <w:rsid w:val="20FF6EAC"/>
    <w:rsid w:val="21047B38"/>
    <w:rsid w:val="21253790"/>
    <w:rsid w:val="218E2261"/>
    <w:rsid w:val="2193118A"/>
    <w:rsid w:val="219E4222"/>
    <w:rsid w:val="21A1507D"/>
    <w:rsid w:val="21A77B15"/>
    <w:rsid w:val="21E6677A"/>
    <w:rsid w:val="21EE2066"/>
    <w:rsid w:val="221D2CCB"/>
    <w:rsid w:val="22551B4B"/>
    <w:rsid w:val="22775CA5"/>
    <w:rsid w:val="227E2814"/>
    <w:rsid w:val="22C71FF9"/>
    <w:rsid w:val="230921F1"/>
    <w:rsid w:val="2341577D"/>
    <w:rsid w:val="23683C2C"/>
    <w:rsid w:val="24256224"/>
    <w:rsid w:val="247F0531"/>
    <w:rsid w:val="24B83E2F"/>
    <w:rsid w:val="24BA6714"/>
    <w:rsid w:val="255E4406"/>
    <w:rsid w:val="256001E8"/>
    <w:rsid w:val="258608E9"/>
    <w:rsid w:val="259B051E"/>
    <w:rsid w:val="259E45CC"/>
    <w:rsid w:val="25B67B87"/>
    <w:rsid w:val="25BC7A81"/>
    <w:rsid w:val="25F935F9"/>
    <w:rsid w:val="2659151D"/>
    <w:rsid w:val="26AB30A9"/>
    <w:rsid w:val="26B05870"/>
    <w:rsid w:val="26C8354A"/>
    <w:rsid w:val="26F14879"/>
    <w:rsid w:val="26F80D1E"/>
    <w:rsid w:val="272A0F29"/>
    <w:rsid w:val="275C0C07"/>
    <w:rsid w:val="27B83BCF"/>
    <w:rsid w:val="27DB6BF1"/>
    <w:rsid w:val="281A15D0"/>
    <w:rsid w:val="283156F7"/>
    <w:rsid w:val="285C3FE0"/>
    <w:rsid w:val="28C623BE"/>
    <w:rsid w:val="28D54207"/>
    <w:rsid w:val="28DC1525"/>
    <w:rsid w:val="28E82791"/>
    <w:rsid w:val="29310B40"/>
    <w:rsid w:val="295946B1"/>
    <w:rsid w:val="297F6D30"/>
    <w:rsid w:val="2A762290"/>
    <w:rsid w:val="2AF72CC1"/>
    <w:rsid w:val="2AFD6026"/>
    <w:rsid w:val="2B453406"/>
    <w:rsid w:val="2C2E15D8"/>
    <w:rsid w:val="2C337E4A"/>
    <w:rsid w:val="2C9F6996"/>
    <w:rsid w:val="2CA60D49"/>
    <w:rsid w:val="2CDD39A8"/>
    <w:rsid w:val="2D5D5F15"/>
    <w:rsid w:val="2E241C40"/>
    <w:rsid w:val="2E45336E"/>
    <w:rsid w:val="2E594242"/>
    <w:rsid w:val="2F132469"/>
    <w:rsid w:val="2F1D6DD3"/>
    <w:rsid w:val="2FE32838"/>
    <w:rsid w:val="30367AE0"/>
    <w:rsid w:val="30550FDB"/>
    <w:rsid w:val="3090022C"/>
    <w:rsid w:val="31304E01"/>
    <w:rsid w:val="31565A52"/>
    <w:rsid w:val="3174733B"/>
    <w:rsid w:val="31B8409D"/>
    <w:rsid w:val="31D15944"/>
    <w:rsid w:val="320C1338"/>
    <w:rsid w:val="327C04A9"/>
    <w:rsid w:val="329C5134"/>
    <w:rsid w:val="32D95946"/>
    <w:rsid w:val="32E61EC1"/>
    <w:rsid w:val="33226CF9"/>
    <w:rsid w:val="334A562F"/>
    <w:rsid w:val="33B40A71"/>
    <w:rsid w:val="33E76CBF"/>
    <w:rsid w:val="33EB45B3"/>
    <w:rsid w:val="33EC5870"/>
    <w:rsid w:val="340F5168"/>
    <w:rsid w:val="3429410E"/>
    <w:rsid w:val="34377503"/>
    <w:rsid w:val="343E61BD"/>
    <w:rsid w:val="346B3430"/>
    <w:rsid w:val="34A33DB4"/>
    <w:rsid w:val="34B9423C"/>
    <w:rsid w:val="34B977D6"/>
    <w:rsid w:val="34C43AD6"/>
    <w:rsid w:val="34CC40E3"/>
    <w:rsid w:val="35092EFF"/>
    <w:rsid w:val="35244E3B"/>
    <w:rsid w:val="35FB413E"/>
    <w:rsid w:val="3675722F"/>
    <w:rsid w:val="3693006B"/>
    <w:rsid w:val="36BC21BD"/>
    <w:rsid w:val="37966FFD"/>
    <w:rsid w:val="37A90872"/>
    <w:rsid w:val="380F714B"/>
    <w:rsid w:val="38634B51"/>
    <w:rsid w:val="386F06F6"/>
    <w:rsid w:val="388148EF"/>
    <w:rsid w:val="38AB5A60"/>
    <w:rsid w:val="39021FD6"/>
    <w:rsid w:val="39151010"/>
    <w:rsid w:val="39B120B7"/>
    <w:rsid w:val="39C52708"/>
    <w:rsid w:val="39E50E82"/>
    <w:rsid w:val="39F91667"/>
    <w:rsid w:val="3A2B6486"/>
    <w:rsid w:val="3A2F666C"/>
    <w:rsid w:val="3A58328D"/>
    <w:rsid w:val="3A815910"/>
    <w:rsid w:val="3A835B2C"/>
    <w:rsid w:val="3AA8214C"/>
    <w:rsid w:val="3AB7694A"/>
    <w:rsid w:val="3ACE2772"/>
    <w:rsid w:val="3AF85402"/>
    <w:rsid w:val="3B1162C1"/>
    <w:rsid w:val="3B29177C"/>
    <w:rsid w:val="3BAC5B43"/>
    <w:rsid w:val="3BC20520"/>
    <w:rsid w:val="3BED5BFA"/>
    <w:rsid w:val="3CA71C6B"/>
    <w:rsid w:val="3CCB3A3A"/>
    <w:rsid w:val="3CDA5F92"/>
    <w:rsid w:val="3D387FF2"/>
    <w:rsid w:val="3D5506FF"/>
    <w:rsid w:val="3D661461"/>
    <w:rsid w:val="3D6F49C6"/>
    <w:rsid w:val="3D892919"/>
    <w:rsid w:val="3D9A6A96"/>
    <w:rsid w:val="3DF304B3"/>
    <w:rsid w:val="3E090553"/>
    <w:rsid w:val="3E122074"/>
    <w:rsid w:val="3E3C09F4"/>
    <w:rsid w:val="3ED87C45"/>
    <w:rsid w:val="3EDE4B6F"/>
    <w:rsid w:val="3F782DC8"/>
    <w:rsid w:val="3FB6543D"/>
    <w:rsid w:val="3FBC156F"/>
    <w:rsid w:val="3FBC321B"/>
    <w:rsid w:val="3FDC214B"/>
    <w:rsid w:val="3FE80C12"/>
    <w:rsid w:val="4014042A"/>
    <w:rsid w:val="401525D0"/>
    <w:rsid w:val="402C05F2"/>
    <w:rsid w:val="40505F2C"/>
    <w:rsid w:val="40576660"/>
    <w:rsid w:val="410117D0"/>
    <w:rsid w:val="419E6BCB"/>
    <w:rsid w:val="41B14B9B"/>
    <w:rsid w:val="41B6687E"/>
    <w:rsid w:val="41C66CED"/>
    <w:rsid w:val="41DB4EE5"/>
    <w:rsid w:val="41EE45C3"/>
    <w:rsid w:val="41FC303D"/>
    <w:rsid w:val="420952EC"/>
    <w:rsid w:val="42227BD3"/>
    <w:rsid w:val="42250DFB"/>
    <w:rsid w:val="42331005"/>
    <w:rsid w:val="424D5C03"/>
    <w:rsid w:val="42D639CC"/>
    <w:rsid w:val="42E90BA5"/>
    <w:rsid w:val="431A4BDE"/>
    <w:rsid w:val="43440D2D"/>
    <w:rsid w:val="434F5B91"/>
    <w:rsid w:val="43700350"/>
    <w:rsid w:val="43B11667"/>
    <w:rsid w:val="4439476B"/>
    <w:rsid w:val="443B1363"/>
    <w:rsid w:val="4486331B"/>
    <w:rsid w:val="44D848B9"/>
    <w:rsid w:val="44E81C28"/>
    <w:rsid w:val="459159D1"/>
    <w:rsid w:val="45D77F6A"/>
    <w:rsid w:val="45E60CBE"/>
    <w:rsid w:val="462D321F"/>
    <w:rsid w:val="46367C90"/>
    <w:rsid w:val="46846003"/>
    <w:rsid w:val="46CB01F2"/>
    <w:rsid w:val="47233200"/>
    <w:rsid w:val="472C0AC9"/>
    <w:rsid w:val="472E19CD"/>
    <w:rsid w:val="47596207"/>
    <w:rsid w:val="47981416"/>
    <w:rsid w:val="47C9538C"/>
    <w:rsid w:val="487F12F9"/>
    <w:rsid w:val="489E00CC"/>
    <w:rsid w:val="48A40571"/>
    <w:rsid w:val="48BA0BFD"/>
    <w:rsid w:val="492023FD"/>
    <w:rsid w:val="49555E34"/>
    <w:rsid w:val="495F66E7"/>
    <w:rsid w:val="4A0F596E"/>
    <w:rsid w:val="4A5E7F72"/>
    <w:rsid w:val="4A7A091D"/>
    <w:rsid w:val="4A7D3B24"/>
    <w:rsid w:val="4AB913A6"/>
    <w:rsid w:val="4ACA4FB4"/>
    <w:rsid w:val="4ADA0E35"/>
    <w:rsid w:val="4B000B8C"/>
    <w:rsid w:val="4B1172F3"/>
    <w:rsid w:val="4B1975E8"/>
    <w:rsid w:val="4B337E37"/>
    <w:rsid w:val="4BBA3580"/>
    <w:rsid w:val="4BD81DB6"/>
    <w:rsid w:val="4BE27B97"/>
    <w:rsid w:val="4C002BE7"/>
    <w:rsid w:val="4C007A84"/>
    <w:rsid w:val="4C0A38C1"/>
    <w:rsid w:val="4C2777FC"/>
    <w:rsid w:val="4C4E739B"/>
    <w:rsid w:val="4C874975"/>
    <w:rsid w:val="4CC14600"/>
    <w:rsid w:val="4D2531BF"/>
    <w:rsid w:val="4D4F70C4"/>
    <w:rsid w:val="4D614BB9"/>
    <w:rsid w:val="4D9D16D5"/>
    <w:rsid w:val="4DAF31BA"/>
    <w:rsid w:val="4DFC0DE9"/>
    <w:rsid w:val="4E754F52"/>
    <w:rsid w:val="4E7B16B4"/>
    <w:rsid w:val="4EF52601"/>
    <w:rsid w:val="4F210AA1"/>
    <w:rsid w:val="4F2B67E5"/>
    <w:rsid w:val="4F495E46"/>
    <w:rsid w:val="4F8801B5"/>
    <w:rsid w:val="4F923E4D"/>
    <w:rsid w:val="4FB720EC"/>
    <w:rsid w:val="4FF10D4D"/>
    <w:rsid w:val="503D40D9"/>
    <w:rsid w:val="510A2CE6"/>
    <w:rsid w:val="51280650"/>
    <w:rsid w:val="513449C0"/>
    <w:rsid w:val="513656D4"/>
    <w:rsid w:val="51735132"/>
    <w:rsid w:val="51785FB8"/>
    <w:rsid w:val="51A520C8"/>
    <w:rsid w:val="51E172CD"/>
    <w:rsid w:val="51E40BC5"/>
    <w:rsid w:val="52135E13"/>
    <w:rsid w:val="52A2567F"/>
    <w:rsid w:val="52C02480"/>
    <w:rsid w:val="532B06B0"/>
    <w:rsid w:val="53617CF8"/>
    <w:rsid w:val="536B66F8"/>
    <w:rsid w:val="53986D97"/>
    <w:rsid w:val="53AE2568"/>
    <w:rsid w:val="54534B0B"/>
    <w:rsid w:val="54E96936"/>
    <w:rsid w:val="555A0529"/>
    <w:rsid w:val="55D54F75"/>
    <w:rsid w:val="55E57E7D"/>
    <w:rsid w:val="55F30BC5"/>
    <w:rsid w:val="55F51E56"/>
    <w:rsid w:val="561379B7"/>
    <w:rsid w:val="562C137F"/>
    <w:rsid w:val="567F2C7F"/>
    <w:rsid w:val="56EC5031"/>
    <w:rsid w:val="56F602FB"/>
    <w:rsid w:val="57043AB8"/>
    <w:rsid w:val="573B4397"/>
    <w:rsid w:val="577C112D"/>
    <w:rsid w:val="585F48B3"/>
    <w:rsid w:val="588A2927"/>
    <w:rsid w:val="58C806D8"/>
    <w:rsid w:val="5932382F"/>
    <w:rsid w:val="596077A0"/>
    <w:rsid w:val="59B36D42"/>
    <w:rsid w:val="5A50371F"/>
    <w:rsid w:val="5AA27159"/>
    <w:rsid w:val="5AA36659"/>
    <w:rsid w:val="5ABD63EF"/>
    <w:rsid w:val="5AE9200F"/>
    <w:rsid w:val="5AF72E3A"/>
    <w:rsid w:val="5B4E6EFC"/>
    <w:rsid w:val="5B4F75DC"/>
    <w:rsid w:val="5B643A20"/>
    <w:rsid w:val="5B752BD4"/>
    <w:rsid w:val="5BFD726A"/>
    <w:rsid w:val="5C1E2F50"/>
    <w:rsid w:val="5C235B47"/>
    <w:rsid w:val="5C574D90"/>
    <w:rsid w:val="5C990B14"/>
    <w:rsid w:val="5CBE2FF0"/>
    <w:rsid w:val="5CCB21EC"/>
    <w:rsid w:val="5D277BBE"/>
    <w:rsid w:val="5D287472"/>
    <w:rsid w:val="5D4E7F7A"/>
    <w:rsid w:val="5D5F35D3"/>
    <w:rsid w:val="5D954224"/>
    <w:rsid w:val="5DA85B7B"/>
    <w:rsid w:val="5DBF1080"/>
    <w:rsid w:val="5DE17576"/>
    <w:rsid w:val="5E0E18B9"/>
    <w:rsid w:val="5E3C2EED"/>
    <w:rsid w:val="5F377E0A"/>
    <w:rsid w:val="5F5233B0"/>
    <w:rsid w:val="5FB4607E"/>
    <w:rsid w:val="5FDE4D77"/>
    <w:rsid w:val="5FE07F01"/>
    <w:rsid w:val="601311A3"/>
    <w:rsid w:val="608F5310"/>
    <w:rsid w:val="60A61A9E"/>
    <w:rsid w:val="60DC4C95"/>
    <w:rsid w:val="614363FE"/>
    <w:rsid w:val="615F2B7A"/>
    <w:rsid w:val="61625F9E"/>
    <w:rsid w:val="619D3633"/>
    <w:rsid w:val="61A97E33"/>
    <w:rsid w:val="61B472B3"/>
    <w:rsid w:val="61BD3227"/>
    <w:rsid w:val="61BD5E73"/>
    <w:rsid w:val="61C81D68"/>
    <w:rsid w:val="620178B3"/>
    <w:rsid w:val="620965CE"/>
    <w:rsid w:val="62201485"/>
    <w:rsid w:val="62B35955"/>
    <w:rsid w:val="62D570DE"/>
    <w:rsid w:val="63072C51"/>
    <w:rsid w:val="6322724F"/>
    <w:rsid w:val="6362196A"/>
    <w:rsid w:val="63A50505"/>
    <w:rsid w:val="644068FC"/>
    <w:rsid w:val="6470559B"/>
    <w:rsid w:val="64837FD2"/>
    <w:rsid w:val="64C573AF"/>
    <w:rsid w:val="64CD17F4"/>
    <w:rsid w:val="65016E03"/>
    <w:rsid w:val="650B4083"/>
    <w:rsid w:val="652D78CF"/>
    <w:rsid w:val="6559493E"/>
    <w:rsid w:val="660A7D87"/>
    <w:rsid w:val="661E0280"/>
    <w:rsid w:val="664921A9"/>
    <w:rsid w:val="665447A0"/>
    <w:rsid w:val="674E76A0"/>
    <w:rsid w:val="67C331F1"/>
    <w:rsid w:val="687A4DA1"/>
    <w:rsid w:val="68F61DA6"/>
    <w:rsid w:val="69956052"/>
    <w:rsid w:val="69CD7349"/>
    <w:rsid w:val="6A074463"/>
    <w:rsid w:val="6A781D5E"/>
    <w:rsid w:val="6B332D85"/>
    <w:rsid w:val="6B4F2086"/>
    <w:rsid w:val="6B8D5C3B"/>
    <w:rsid w:val="6BCF7E5A"/>
    <w:rsid w:val="6BD228A6"/>
    <w:rsid w:val="6BDB091F"/>
    <w:rsid w:val="6C042CD8"/>
    <w:rsid w:val="6C99036C"/>
    <w:rsid w:val="6CBE6DBD"/>
    <w:rsid w:val="6CE46C14"/>
    <w:rsid w:val="6CF87A5D"/>
    <w:rsid w:val="6D1352BE"/>
    <w:rsid w:val="6D176750"/>
    <w:rsid w:val="6D207117"/>
    <w:rsid w:val="6D471BCD"/>
    <w:rsid w:val="6D607FDA"/>
    <w:rsid w:val="6D630FF7"/>
    <w:rsid w:val="6D784F91"/>
    <w:rsid w:val="6D994705"/>
    <w:rsid w:val="6DC117F2"/>
    <w:rsid w:val="6E037075"/>
    <w:rsid w:val="6E177013"/>
    <w:rsid w:val="6E3F5AB9"/>
    <w:rsid w:val="6E6A3F14"/>
    <w:rsid w:val="6E932292"/>
    <w:rsid w:val="6E956B3F"/>
    <w:rsid w:val="6EB73263"/>
    <w:rsid w:val="6EC67B13"/>
    <w:rsid w:val="6ED10E58"/>
    <w:rsid w:val="6EEB3C30"/>
    <w:rsid w:val="6EF1673B"/>
    <w:rsid w:val="6EF77068"/>
    <w:rsid w:val="6F904587"/>
    <w:rsid w:val="6FA7403A"/>
    <w:rsid w:val="6FD27EB9"/>
    <w:rsid w:val="705B43CC"/>
    <w:rsid w:val="70894417"/>
    <w:rsid w:val="709729C0"/>
    <w:rsid w:val="70E12ADB"/>
    <w:rsid w:val="70E80F2A"/>
    <w:rsid w:val="71494F86"/>
    <w:rsid w:val="720C5A59"/>
    <w:rsid w:val="72C063A5"/>
    <w:rsid w:val="72C85D26"/>
    <w:rsid w:val="72DD7010"/>
    <w:rsid w:val="73062106"/>
    <w:rsid w:val="730C20EF"/>
    <w:rsid w:val="7327234D"/>
    <w:rsid w:val="73936042"/>
    <w:rsid w:val="739A2CF4"/>
    <w:rsid w:val="73D92389"/>
    <w:rsid w:val="74344F21"/>
    <w:rsid w:val="74651D6F"/>
    <w:rsid w:val="74E445CD"/>
    <w:rsid w:val="74FC1DF5"/>
    <w:rsid w:val="74FC4BA9"/>
    <w:rsid w:val="75100C03"/>
    <w:rsid w:val="758C7EF9"/>
    <w:rsid w:val="75B37187"/>
    <w:rsid w:val="760441B0"/>
    <w:rsid w:val="7617170D"/>
    <w:rsid w:val="765A33A6"/>
    <w:rsid w:val="76915777"/>
    <w:rsid w:val="76D23DD5"/>
    <w:rsid w:val="76F205AC"/>
    <w:rsid w:val="76FB3E3E"/>
    <w:rsid w:val="77047A88"/>
    <w:rsid w:val="77163AEF"/>
    <w:rsid w:val="771D009C"/>
    <w:rsid w:val="77417414"/>
    <w:rsid w:val="775549FA"/>
    <w:rsid w:val="77D8219A"/>
    <w:rsid w:val="77F66FFE"/>
    <w:rsid w:val="780C29F0"/>
    <w:rsid w:val="78131149"/>
    <w:rsid w:val="786926F1"/>
    <w:rsid w:val="78A6698F"/>
    <w:rsid w:val="78CB3392"/>
    <w:rsid w:val="78D67937"/>
    <w:rsid w:val="78EA56D7"/>
    <w:rsid w:val="79774CE6"/>
    <w:rsid w:val="7A0E28A6"/>
    <w:rsid w:val="7A2F3A75"/>
    <w:rsid w:val="7A361A03"/>
    <w:rsid w:val="7A695DB3"/>
    <w:rsid w:val="7A717C44"/>
    <w:rsid w:val="7A8E6E5F"/>
    <w:rsid w:val="7AF65077"/>
    <w:rsid w:val="7BA2032F"/>
    <w:rsid w:val="7BA838BD"/>
    <w:rsid w:val="7BE37C72"/>
    <w:rsid w:val="7C247EE8"/>
    <w:rsid w:val="7C352C36"/>
    <w:rsid w:val="7C725614"/>
    <w:rsid w:val="7CAD2FC4"/>
    <w:rsid w:val="7CAF25AC"/>
    <w:rsid w:val="7CB9160E"/>
    <w:rsid w:val="7CDC218E"/>
    <w:rsid w:val="7CE335C6"/>
    <w:rsid w:val="7CF23D17"/>
    <w:rsid w:val="7D326789"/>
    <w:rsid w:val="7D9A3337"/>
    <w:rsid w:val="7DCA67B2"/>
    <w:rsid w:val="7DF803AF"/>
    <w:rsid w:val="7E036B7E"/>
    <w:rsid w:val="7E1F531E"/>
    <w:rsid w:val="7E3044E9"/>
    <w:rsid w:val="7E4C202E"/>
    <w:rsid w:val="7E8A7769"/>
    <w:rsid w:val="7EA67F73"/>
    <w:rsid w:val="7EAA7935"/>
    <w:rsid w:val="7EBC696C"/>
    <w:rsid w:val="7EC30211"/>
    <w:rsid w:val="7ED200E8"/>
    <w:rsid w:val="7F167EBC"/>
    <w:rsid w:val="7F280203"/>
    <w:rsid w:val="7F2B1860"/>
    <w:rsid w:val="7F357340"/>
    <w:rsid w:val="7F396CC0"/>
    <w:rsid w:val="7F6E5892"/>
    <w:rsid w:val="7F9609FB"/>
    <w:rsid w:val="7FCD2604"/>
    <w:rsid w:val="7FE77CFF"/>
    <w:rsid w:val="7FE8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qFormat="1" w:unhideWhenUsed="0" w:uiPriority="99" w:name="index 9"/>
    <w:lsdException w:uiPriority="39" w:name="toc 1"/>
    <w:lsdException w:qFormat="1" w:unhideWhenUsed="0" w:uiPriority="9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5">
    <w:name w:val="heading 1"/>
    <w:basedOn w:val="1"/>
    <w:next w:val="1"/>
    <w:link w:val="31"/>
    <w:autoRedefine/>
    <w:qFormat/>
    <w:uiPriority w:val="99"/>
    <w:pPr>
      <w:spacing w:beforeAutospacing="1" w:afterAutospacing="1"/>
      <w:jc w:val="left"/>
      <w:outlineLvl w:val="0"/>
    </w:pPr>
    <w:rPr>
      <w:rFonts w:ascii="宋体" w:hAnsi="宋体" w:cs="宋体"/>
      <w:b/>
      <w:bCs/>
      <w:kern w:val="44"/>
      <w:sz w:val="48"/>
      <w:szCs w:val="48"/>
    </w:rPr>
  </w:style>
  <w:style w:type="paragraph" w:styleId="6">
    <w:name w:val="heading 2"/>
    <w:basedOn w:val="1"/>
    <w:next w:val="1"/>
    <w:link w:val="32"/>
    <w:autoRedefine/>
    <w:qFormat/>
    <w:uiPriority w:val="99"/>
    <w:pPr>
      <w:spacing w:beforeAutospacing="1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7">
    <w:name w:val="heading 3"/>
    <w:basedOn w:val="1"/>
    <w:next w:val="1"/>
    <w:link w:val="33"/>
    <w:autoRedefine/>
    <w:qFormat/>
    <w:uiPriority w:val="99"/>
    <w:pPr>
      <w:keepNext/>
      <w:keepLines/>
      <w:spacing w:line="413" w:lineRule="auto"/>
      <w:outlineLvl w:val="2"/>
    </w:pPr>
    <w:rPr>
      <w:rFonts w:ascii="Times New Roman" w:hAnsi="Times New Roman" w:cs="Times New Roman"/>
    </w:rPr>
  </w:style>
  <w:style w:type="paragraph" w:styleId="8">
    <w:name w:val="heading 4"/>
    <w:basedOn w:val="1"/>
    <w:next w:val="1"/>
    <w:link w:val="34"/>
    <w:autoRedefine/>
    <w:qFormat/>
    <w:uiPriority w:val="99"/>
    <w:pPr>
      <w:keepNext/>
      <w:keepLines/>
      <w:spacing w:line="376" w:lineRule="auto"/>
      <w:outlineLvl w:val="3"/>
    </w:pPr>
    <w:rPr>
      <w:rFonts w:ascii="Calibri Light" w:hAnsi="Calibri Light" w:cs="Calibri Light"/>
      <w:b/>
      <w:bCs/>
      <w:sz w:val="28"/>
      <w:szCs w:val="28"/>
    </w:rPr>
  </w:style>
  <w:style w:type="character" w:default="1" w:styleId="25">
    <w:name w:val="Default Paragraph Font"/>
    <w:autoRedefine/>
    <w:semiHidden/>
    <w:qFormat/>
    <w:uiPriority w:val="99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link w:val="35"/>
    <w:qFormat/>
    <w:uiPriority w:val="99"/>
    <w:pPr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paragraph" w:styleId="3">
    <w:name w:val="Body Text Indent"/>
    <w:basedOn w:val="1"/>
    <w:next w:val="4"/>
    <w:link w:val="36"/>
    <w:autoRedefine/>
    <w:qFormat/>
    <w:uiPriority w:val="99"/>
    <w:pPr>
      <w:spacing w:after="120"/>
      <w:ind w:left="420" w:leftChars="200"/>
    </w:pPr>
  </w:style>
  <w:style w:type="paragraph" w:styleId="4">
    <w:name w:val="Subtitle"/>
    <w:basedOn w:val="1"/>
    <w:next w:val="1"/>
    <w:link w:val="37"/>
    <w:autoRedefine/>
    <w:qFormat/>
    <w:uiPriority w:val="99"/>
    <w:pPr>
      <w:wordWrap w:val="0"/>
      <w:spacing w:after="60"/>
      <w:jc w:val="center"/>
    </w:pPr>
    <w:rPr>
      <w:sz w:val="24"/>
      <w:szCs w:val="24"/>
    </w:rPr>
  </w:style>
  <w:style w:type="paragraph" w:styleId="9">
    <w:name w:val="Normal Indent"/>
    <w:basedOn w:val="1"/>
    <w:next w:val="8"/>
    <w:autoRedefine/>
    <w:qFormat/>
    <w:uiPriority w:val="99"/>
    <w:pPr>
      <w:ind w:firstLine="420" w:firstLineChars="200"/>
    </w:pPr>
  </w:style>
  <w:style w:type="paragraph" w:styleId="10">
    <w:name w:val="toa heading"/>
    <w:basedOn w:val="1"/>
    <w:next w:val="1"/>
    <w:autoRedefine/>
    <w:semiHidden/>
    <w:qFormat/>
    <w:uiPriority w:val="99"/>
    <w:rPr>
      <w:rFonts w:ascii="Arial" w:hAnsi="Arial" w:cs="Arial"/>
      <w:sz w:val="24"/>
      <w:szCs w:val="24"/>
    </w:rPr>
  </w:style>
  <w:style w:type="paragraph" w:styleId="11">
    <w:name w:val="Body Text"/>
    <w:basedOn w:val="1"/>
    <w:next w:val="12"/>
    <w:link w:val="38"/>
    <w:autoRedefine/>
    <w:qFormat/>
    <w:uiPriority w:val="99"/>
  </w:style>
  <w:style w:type="paragraph" w:customStyle="1" w:styleId="12">
    <w:name w:val="正文部分 Char Char Char"/>
    <w:basedOn w:val="11"/>
    <w:next w:val="13"/>
    <w:autoRedefine/>
    <w:qFormat/>
    <w:uiPriority w:val="99"/>
    <w:pPr>
      <w:adjustRightInd w:val="0"/>
      <w:spacing w:line="460" w:lineRule="exact"/>
      <w:textAlignment w:val="baseline"/>
    </w:pPr>
    <w:rPr>
      <w:sz w:val="24"/>
      <w:szCs w:val="24"/>
    </w:rPr>
  </w:style>
  <w:style w:type="paragraph" w:customStyle="1" w:styleId="13">
    <w:name w:val="章标题"/>
    <w:basedOn w:val="2"/>
    <w:autoRedefine/>
    <w:qFormat/>
    <w:uiPriority w:val="99"/>
    <w:pPr>
      <w:spacing w:line="360" w:lineRule="auto"/>
    </w:pPr>
  </w:style>
  <w:style w:type="paragraph" w:styleId="14">
    <w:name w:val="Plain Text"/>
    <w:basedOn w:val="1"/>
    <w:next w:val="15"/>
    <w:link w:val="39"/>
    <w:autoRedefine/>
    <w:qFormat/>
    <w:uiPriority w:val="99"/>
    <w:rPr>
      <w:rFonts w:ascii="宋体" w:hAnsi="Courier New" w:cs="宋体"/>
    </w:rPr>
  </w:style>
  <w:style w:type="paragraph" w:styleId="15">
    <w:name w:val="index 9"/>
    <w:basedOn w:val="1"/>
    <w:next w:val="1"/>
    <w:semiHidden/>
    <w:qFormat/>
    <w:uiPriority w:val="99"/>
    <w:pPr>
      <w:ind w:left="3360"/>
    </w:pPr>
  </w:style>
  <w:style w:type="paragraph" w:styleId="16">
    <w:name w:val="Body Text Indent 2"/>
    <w:basedOn w:val="11"/>
    <w:link w:val="40"/>
    <w:autoRedefine/>
    <w:qFormat/>
    <w:uiPriority w:val="99"/>
    <w:pPr>
      <w:spacing w:line="480" w:lineRule="auto"/>
      <w:ind w:left="420" w:leftChars="200"/>
    </w:pPr>
  </w:style>
  <w:style w:type="paragraph" w:styleId="17">
    <w:name w:val="Balloon Text"/>
    <w:basedOn w:val="1"/>
    <w:link w:val="52"/>
    <w:autoRedefine/>
    <w:semiHidden/>
    <w:qFormat/>
    <w:uiPriority w:val="99"/>
    <w:rPr>
      <w:sz w:val="18"/>
      <w:szCs w:val="18"/>
    </w:rPr>
  </w:style>
  <w:style w:type="paragraph" w:styleId="18">
    <w:name w:val="footer"/>
    <w:basedOn w:val="1"/>
    <w:link w:val="4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1"/>
    <w:link w:val="43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20">
    <w:name w:val="toc 2"/>
    <w:basedOn w:val="1"/>
    <w:next w:val="1"/>
    <w:autoRedefine/>
    <w:semiHidden/>
    <w:qFormat/>
    <w:uiPriority w:val="99"/>
    <w:pPr>
      <w:ind w:left="420" w:leftChars="200"/>
    </w:pPr>
  </w:style>
  <w:style w:type="paragraph" w:styleId="21">
    <w:name w:val="HTML Preformatted"/>
    <w:basedOn w:val="1"/>
    <w:link w:val="44"/>
    <w:autoRedefine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22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23">
    <w:name w:val="Body Text First Indent 2"/>
    <w:basedOn w:val="3"/>
    <w:next w:val="16"/>
    <w:link w:val="42"/>
    <w:qFormat/>
    <w:uiPriority w:val="99"/>
    <w:pPr>
      <w:ind w:firstLine="420" w:firstLineChars="200"/>
    </w:pPr>
  </w:style>
  <w:style w:type="character" w:styleId="26">
    <w:name w:val="Strong"/>
    <w:basedOn w:val="25"/>
    <w:qFormat/>
    <w:uiPriority w:val="99"/>
    <w:rPr>
      <w:b/>
      <w:bCs/>
    </w:rPr>
  </w:style>
  <w:style w:type="character" w:styleId="27">
    <w:name w:val="page number"/>
    <w:basedOn w:val="25"/>
    <w:autoRedefine/>
    <w:qFormat/>
    <w:uiPriority w:val="99"/>
  </w:style>
  <w:style w:type="character" w:styleId="28">
    <w:name w:val="FollowedHyperlink"/>
    <w:basedOn w:val="25"/>
    <w:qFormat/>
    <w:uiPriority w:val="99"/>
    <w:rPr>
      <w:color w:val="auto"/>
      <w:u w:val="none"/>
    </w:rPr>
  </w:style>
  <w:style w:type="character" w:styleId="29">
    <w:name w:val="Emphasis"/>
    <w:basedOn w:val="25"/>
    <w:autoRedefine/>
    <w:qFormat/>
    <w:uiPriority w:val="99"/>
    <w:rPr>
      <w:i/>
      <w:iCs/>
    </w:rPr>
  </w:style>
  <w:style w:type="character" w:styleId="30">
    <w:name w:val="Hyperlink"/>
    <w:basedOn w:val="25"/>
    <w:qFormat/>
    <w:uiPriority w:val="99"/>
    <w:rPr>
      <w:color w:val="auto"/>
      <w:u w:val="none"/>
    </w:rPr>
  </w:style>
  <w:style w:type="character" w:customStyle="1" w:styleId="31">
    <w:name w:val="Heading 1 Char"/>
    <w:basedOn w:val="25"/>
    <w:link w:val="5"/>
    <w:autoRedefine/>
    <w:qFormat/>
    <w:uiPriority w:val="9"/>
    <w:rPr>
      <w:rFonts w:ascii="Calibri" w:hAnsi="Calibri" w:cs="Calibri"/>
      <w:b/>
      <w:bCs/>
      <w:kern w:val="44"/>
      <w:sz w:val="44"/>
      <w:szCs w:val="44"/>
    </w:rPr>
  </w:style>
  <w:style w:type="character" w:customStyle="1" w:styleId="32">
    <w:name w:val="Heading 2 Char"/>
    <w:basedOn w:val="25"/>
    <w:link w:val="6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3">
    <w:name w:val="Heading 3 Char"/>
    <w:basedOn w:val="25"/>
    <w:link w:val="7"/>
    <w:semiHidden/>
    <w:qFormat/>
    <w:uiPriority w:val="9"/>
    <w:rPr>
      <w:rFonts w:ascii="Calibri" w:hAnsi="Calibri" w:cs="Calibri"/>
      <w:b/>
      <w:bCs/>
      <w:sz w:val="32"/>
      <w:szCs w:val="32"/>
    </w:rPr>
  </w:style>
  <w:style w:type="character" w:customStyle="1" w:styleId="34">
    <w:name w:val="Heading 4 Char"/>
    <w:basedOn w:val="25"/>
    <w:link w:val="8"/>
    <w:autoRedefine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5">
    <w:name w:val="Title Char"/>
    <w:basedOn w:val="25"/>
    <w:link w:val="2"/>
    <w:autoRedefine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customStyle="1" w:styleId="36">
    <w:name w:val="Body Text Indent Char"/>
    <w:basedOn w:val="25"/>
    <w:link w:val="3"/>
    <w:semiHidden/>
    <w:qFormat/>
    <w:uiPriority w:val="99"/>
    <w:rPr>
      <w:rFonts w:ascii="Calibri" w:hAnsi="Calibri" w:cs="Calibri"/>
      <w:szCs w:val="21"/>
    </w:rPr>
  </w:style>
  <w:style w:type="character" w:customStyle="1" w:styleId="37">
    <w:name w:val="Subtitle Char"/>
    <w:basedOn w:val="25"/>
    <w:link w:val="4"/>
    <w:autoRedefine/>
    <w:qFormat/>
    <w:uiPriority w:val="11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38">
    <w:name w:val="Body Text Char"/>
    <w:basedOn w:val="25"/>
    <w:link w:val="11"/>
    <w:autoRedefine/>
    <w:semiHidden/>
    <w:qFormat/>
    <w:uiPriority w:val="99"/>
    <w:rPr>
      <w:rFonts w:ascii="Calibri" w:hAnsi="Calibri" w:cs="Calibri"/>
      <w:szCs w:val="21"/>
    </w:rPr>
  </w:style>
  <w:style w:type="character" w:customStyle="1" w:styleId="39">
    <w:name w:val="Plain Text Char"/>
    <w:basedOn w:val="25"/>
    <w:link w:val="14"/>
    <w:autoRedefine/>
    <w:semiHidden/>
    <w:qFormat/>
    <w:uiPriority w:val="99"/>
    <w:rPr>
      <w:rFonts w:ascii="宋体" w:hAnsi="Courier New" w:cs="Courier New"/>
      <w:szCs w:val="21"/>
    </w:rPr>
  </w:style>
  <w:style w:type="character" w:customStyle="1" w:styleId="40">
    <w:name w:val="Body Text Indent 2 Char"/>
    <w:basedOn w:val="25"/>
    <w:link w:val="16"/>
    <w:semiHidden/>
    <w:qFormat/>
    <w:uiPriority w:val="99"/>
    <w:rPr>
      <w:rFonts w:ascii="Calibri" w:hAnsi="Calibri" w:cs="Calibri"/>
      <w:szCs w:val="21"/>
    </w:rPr>
  </w:style>
  <w:style w:type="character" w:customStyle="1" w:styleId="41">
    <w:name w:val="Footer Char"/>
    <w:basedOn w:val="25"/>
    <w:link w:val="18"/>
    <w:semiHidden/>
    <w:qFormat/>
    <w:uiPriority w:val="99"/>
    <w:rPr>
      <w:rFonts w:ascii="Calibri" w:hAnsi="Calibri" w:cs="Calibri"/>
      <w:sz w:val="18"/>
      <w:szCs w:val="18"/>
    </w:rPr>
  </w:style>
  <w:style w:type="character" w:customStyle="1" w:styleId="42">
    <w:name w:val="Body Text First Indent 2 Char"/>
    <w:basedOn w:val="36"/>
    <w:link w:val="23"/>
    <w:autoRedefine/>
    <w:semiHidden/>
    <w:qFormat/>
    <w:uiPriority w:val="99"/>
  </w:style>
  <w:style w:type="character" w:customStyle="1" w:styleId="43">
    <w:name w:val="Header Char"/>
    <w:basedOn w:val="25"/>
    <w:link w:val="19"/>
    <w:autoRedefine/>
    <w:semiHidden/>
    <w:qFormat/>
    <w:uiPriority w:val="99"/>
    <w:rPr>
      <w:rFonts w:ascii="Calibri" w:hAnsi="Calibri" w:cs="Calibri"/>
      <w:sz w:val="18"/>
      <w:szCs w:val="18"/>
    </w:rPr>
  </w:style>
  <w:style w:type="character" w:customStyle="1" w:styleId="44">
    <w:name w:val="HTML Preformatted Char"/>
    <w:basedOn w:val="25"/>
    <w:link w:val="21"/>
    <w:autoRedefine/>
    <w:semiHidden/>
    <w:qFormat/>
    <w:uiPriority w:val="99"/>
    <w:rPr>
      <w:rFonts w:ascii="Courier New" w:hAnsi="Courier New" w:cs="Courier New"/>
      <w:sz w:val="20"/>
      <w:szCs w:val="20"/>
    </w:rPr>
  </w:style>
  <w:style w:type="paragraph" w:customStyle="1" w:styleId="45">
    <w:name w:val="_Style 1"/>
    <w:qFormat/>
    <w:uiPriority w:val="99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8"/>
      <w:szCs w:val="28"/>
      <w:lang w:val="en-US" w:eastAsia="zh-CN" w:bidi="ar-SA"/>
    </w:rPr>
  </w:style>
  <w:style w:type="paragraph" w:customStyle="1" w:styleId="46">
    <w:name w:val="Plain Text1"/>
    <w:basedOn w:val="1"/>
    <w:next w:val="47"/>
    <w:autoRedefine/>
    <w:qFormat/>
    <w:uiPriority w:val="99"/>
    <w:rPr>
      <w:rFonts w:ascii="宋体" w:hAnsi="Courier New" w:cs="宋体"/>
    </w:rPr>
  </w:style>
  <w:style w:type="paragraph" w:customStyle="1" w:styleId="47">
    <w:name w:val="Index 91"/>
    <w:basedOn w:val="1"/>
    <w:next w:val="1"/>
    <w:autoRedefine/>
    <w:qFormat/>
    <w:uiPriority w:val="99"/>
    <w:pPr>
      <w:ind w:left="3360"/>
    </w:pPr>
  </w:style>
  <w:style w:type="paragraph" w:styleId="48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49">
    <w:name w:val="Body Text First Indent 21"/>
    <w:basedOn w:val="50"/>
    <w:autoRedefine/>
    <w:qFormat/>
    <w:uiPriority w:val="99"/>
    <w:pPr>
      <w:ind w:left="0" w:leftChars="0" w:firstLine="200" w:firstLineChars="200"/>
    </w:pPr>
  </w:style>
  <w:style w:type="paragraph" w:customStyle="1" w:styleId="50">
    <w:name w:val="Body Text Indent1"/>
    <w:basedOn w:val="1"/>
    <w:next w:val="1"/>
    <w:autoRedefine/>
    <w:qFormat/>
    <w:uiPriority w:val="99"/>
    <w:pPr>
      <w:ind w:left="420" w:leftChars="200"/>
    </w:pPr>
  </w:style>
  <w:style w:type="paragraph" w:customStyle="1" w:styleId="51">
    <w:name w:val="p0"/>
    <w:basedOn w:val="1"/>
    <w:qFormat/>
    <w:uiPriority w:val="99"/>
    <w:pPr>
      <w:widowControl/>
      <w:spacing w:line="365" w:lineRule="atLeast"/>
      <w:ind w:left="1"/>
    </w:pPr>
    <w:rPr>
      <w:kern w:val="0"/>
      <w:sz w:val="20"/>
      <w:szCs w:val="20"/>
    </w:rPr>
  </w:style>
  <w:style w:type="character" w:customStyle="1" w:styleId="52">
    <w:name w:val="Balloon Text Char"/>
    <w:basedOn w:val="25"/>
    <w:link w:val="17"/>
    <w:autoRedefine/>
    <w:semiHidden/>
    <w:qFormat/>
    <w:uiPriority w:val="99"/>
    <w:rPr>
      <w:rFonts w:ascii="Calibri" w:hAnsi="Calibri" w:cs="Calibri"/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MC SYSTEM</Company>
  <Pages>29</Pages>
  <Words>15042</Words>
  <Characters>15657</Characters>
  <Lines>0</Lines>
  <Paragraphs>0</Paragraphs>
  <TotalTime>143</TotalTime>
  <ScaleCrop>false</ScaleCrop>
  <LinksUpToDate>false</LinksUpToDate>
  <CharactersWithSpaces>15672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刘阳</cp:lastModifiedBy>
  <cp:lastPrinted>2023-01-11T07:26:00Z</cp:lastPrinted>
  <dcterms:modified xsi:type="dcterms:W3CDTF">2026-09-03T03:16:40Z</dcterms:modified>
  <dc:title>政 府 工 作 报 告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D9D1153594794BDFB33D6AB6106393F5_12</vt:lpwstr>
  </property>
  <property fmtid="{D5CDD505-2E9C-101B-9397-08002B2CF9AE}" pid="4" name="KSOTemplateDocerSaveRecord">
    <vt:lpwstr>eyJoZGlkIjoiNGQwMTcxMTU2MDMzNmYyMzQ0ZWU0YWEwNDg4ZWM5NGMiLCJ1c2VySWQiOiIxNjg4OTIxODE2In0=</vt:lpwstr>
  </property>
</Properties>
</file>