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14:shadow w14:blurRad="60007" w14:dist="200025" w14:dir="15000000" w14:sx="100000" w14:sy="30000" w14:kx="-1800000" w14:ky="0" w14:algn="bl">
            <w14:srgbClr w14:val="000000">
              <w14:alpha w14:val="68000"/>
            </w14:srgbClr>
          </w14:shadow>
        </w:rPr>
      </w:pPr>
    </w:p>
    <w:p>
      <w:pPr>
        <w:widowControl/>
        <w:jc w:val="center"/>
        <w:rPr>
          <w:rFonts w:hAnsi="宋体" w:asciiTheme="minorEastAsia" w:eastAsiaTheme="minorEastAsia"/>
          <w:color w:val="002060"/>
          <w:sz w:val="84"/>
          <w:szCs w:val="84"/>
          <w14:textOutline w14:w="5270" w14:cap="flat" w14:cmpd="sng" w14:algn="ctr">
            <w14:solidFill>
              <w14:srgbClr w14:val="7D7D7D">
                <w14:tint w14:val="100000"/>
                <w14:shade w14:val="100000"/>
                <w14:satMod w14:val="110000"/>
              </w14:srgbClr>
            </w14:solidFill>
            <w14:prstDash w14:val="solid"/>
            <w14:round/>
          </w14:textOutline>
        </w:rPr>
      </w:pPr>
      <w:r>
        <w:rPr>
          <w:rFonts w:hint="eastAsia" w:hAnsi="宋体" w:asciiTheme="minorEastAsia" w:eastAsiaTheme="minorEastAsia"/>
          <w:color w:val="002060"/>
          <w:sz w:val="84"/>
          <w:szCs w:val="84"/>
          <w14:textOutline w14:w="5270" w14:cap="flat" w14:cmpd="sng" w14:algn="ctr">
            <w14:solidFill>
              <w14:srgbClr w14:val="7D7D7D">
                <w14:tint w14:val="100000"/>
                <w14:shade w14:val="100000"/>
                <w14:satMod w14:val="110000"/>
              </w14:srgbClr>
            </w14:solidFill>
            <w14:prstDash w14:val="solid"/>
            <w14:round/>
          </w14:textOutline>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hint="eastAsia" w:ascii="宋体" w:hAnsi="宋体" w:eastAsia="宋体"/>
          <w:b/>
          <w:sz w:val="44"/>
          <w:szCs w:val="44"/>
          <w:lang w:val="en-US" w:eastAsia="zh-CN"/>
        </w:rPr>
      </w:pPr>
      <w:r>
        <w:rPr>
          <w:rFonts w:hint="eastAsia" w:ascii="宋体" w:hAnsi="宋体"/>
          <w:b/>
          <w:sz w:val="44"/>
          <w:szCs w:val="44"/>
        </w:rPr>
        <w:t>石家庄</w:t>
      </w:r>
      <w:r>
        <w:rPr>
          <w:rFonts w:hint="eastAsia" w:ascii="宋体" w:hAnsi="宋体"/>
          <w:b/>
          <w:sz w:val="44"/>
          <w:szCs w:val="44"/>
          <w:lang w:eastAsia="zh-CN"/>
        </w:rPr>
        <w:t>市长安区人民政府阜康街道办事处</w:t>
      </w:r>
    </w:p>
    <w:p>
      <w:pPr>
        <w:widowControl/>
        <w:jc w:val="center"/>
        <w:rPr>
          <w:rFonts w:ascii="宋体" w:hAnsi="宋体"/>
          <w:b/>
          <w:sz w:val="44"/>
          <w:szCs w:val="44"/>
        </w:rPr>
      </w:pPr>
      <w:r>
        <w:rPr>
          <w:rFonts w:hint="eastAsia" w:ascii="宋体" w:hAnsi="宋体"/>
          <w:b/>
          <w:sz w:val="44"/>
          <w:szCs w:val="44"/>
        </w:rPr>
        <w:t>2018年</w:t>
      </w:r>
      <w:r>
        <w:rPr>
          <w:rFonts w:hint="eastAsia" w:ascii="宋体" w:hAnsi="宋体"/>
          <w:b/>
          <w:sz w:val="44"/>
          <w:szCs w:val="44"/>
          <w:lang w:val="en-US" w:eastAsia="zh-CN"/>
        </w:rPr>
        <w:t>10</w:t>
      </w:r>
      <w:r>
        <w:rPr>
          <w:rFonts w:hint="eastAsia" w:ascii="宋体" w:hAnsi="宋体"/>
          <w:b/>
          <w:sz w:val="44"/>
          <w:szCs w:val="44"/>
        </w:rPr>
        <w:t>月</w:t>
      </w:r>
      <w:r>
        <w:rPr>
          <w:rFonts w:hint="eastAsia" w:ascii="宋体" w:hAnsi="宋体"/>
          <w:b/>
          <w:sz w:val="44"/>
          <w:szCs w:val="44"/>
          <w:lang w:val="en-US" w:eastAsia="zh-CN"/>
        </w:rPr>
        <w:t>30</w:t>
      </w:r>
      <w:r>
        <w:rPr>
          <w:rFonts w:hint="eastAsia" w:ascii="宋体" w:hAnsi="宋体"/>
          <w:b/>
          <w:sz w:val="44"/>
          <w:szCs w:val="44"/>
        </w:rPr>
        <w:t>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color w:val="000000" w:themeColor="text1"/>
          <w:sz w:val="24"/>
          <w:szCs w:val="32"/>
          <w14:textFill>
            <w14:solidFill>
              <w14:schemeClr w14:val="tx1"/>
            </w14:solidFill>
          </w14:textFill>
        </w:rPr>
      </w:pPr>
      <w:r>
        <w:rPr>
          <w:rFonts w:eastAsia="黑体"/>
          <w:color w:val="000000" w:themeColor="text1"/>
          <w:sz w:val="32"/>
          <w:szCs w:val="32"/>
          <w14:textFill>
            <w14:solidFill>
              <w14:schemeClr w14:val="tx1"/>
            </w14:solidFill>
          </w14:textFill>
        </w:rPr>
        <w:t xml:space="preserve">第一部分   </w:t>
      </w:r>
      <w:r>
        <w:rPr>
          <w:rFonts w:hint="eastAsia" w:eastAsia="黑体"/>
          <w:color w:val="000000" w:themeColor="text1"/>
          <w:sz w:val="32"/>
          <w:szCs w:val="32"/>
          <w:lang w:eastAsia="zh-CN"/>
          <w14:textFill>
            <w14:solidFill>
              <w14:schemeClr w14:val="tx1"/>
            </w14:solidFill>
          </w14:textFill>
        </w:rPr>
        <w:t>石家庄市长安区人民政府阜康街道办事处概况</w:t>
      </w:r>
      <w:r>
        <w:rPr>
          <w:rFonts w:hint="eastAsia" w:eastAsia="仿宋_GB2312"/>
          <w:color w:val="000000" w:themeColor="text1"/>
          <w:sz w:val="24"/>
          <w:szCs w:val="32"/>
          <w14:textFill>
            <w14:solidFill>
              <w14:schemeClr w14:val="tx1"/>
            </w14:solidFill>
          </w14:textFill>
        </w:rPr>
        <w:t xml:space="preserve">   </w:t>
      </w:r>
    </w:p>
    <w:p>
      <w:pPr>
        <w:widowControl/>
        <w:spacing w:line="580" w:lineRule="exact"/>
        <w:ind w:firstLine="1273" w:firstLineChars="398"/>
        <w:rPr>
          <w:rFonts w:eastAsia="仿宋_GB2312"/>
          <w:sz w:val="32"/>
          <w:szCs w:val="32"/>
        </w:rPr>
      </w:pPr>
      <w:r>
        <w:rPr>
          <w:rFonts w:eastAsia="仿宋_GB2312"/>
          <w:sz w:val="32"/>
          <w:szCs w:val="32"/>
        </w:rPr>
        <w:t>一、</w:t>
      </w:r>
      <w:r>
        <w:rPr>
          <w:rFonts w:hint="eastAsia" w:eastAsia="仿宋_GB2312"/>
          <w:sz w:val="32"/>
          <w:szCs w:val="32"/>
        </w:rPr>
        <w:t>石家庄市长安区人民政府阜康街道办事处</w:t>
      </w:r>
      <w:r>
        <w:rPr>
          <w:rFonts w:eastAsia="仿宋_GB2312"/>
          <w:sz w:val="32"/>
          <w:szCs w:val="32"/>
        </w:rPr>
        <w:t>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石家庄市长安区人民政府阜康街道办事处</w:t>
      </w:r>
      <w:r>
        <w:rPr>
          <w:rFonts w:eastAsia="仿宋_GB2312"/>
          <w:sz w:val="32"/>
          <w:szCs w:val="32"/>
        </w:rPr>
        <w:t>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color w:val="000000" w:themeColor="text1"/>
          <w:sz w:val="32"/>
          <w:szCs w:val="32"/>
          <w:lang w:eastAsia="zh-CN"/>
          <w14:textFill>
            <w14:solidFill>
              <w14:schemeClr w14:val="tx1"/>
            </w14:solidFill>
          </w14:textFill>
        </w:rPr>
        <w:t>石家庄市长安区人民政府阜康街道办事处</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石家庄市长安区人民政府阜康街道办事处</w:t>
      </w:r>
      <w:r>
        <w:rPr>
          <w:rFonts w:eastAsia="黑体"/>
          <w:sz w:val="32"/>
          <w:szCs w:val="32"/>
        </w:rPr>
        <w:t>部门2017年部门决算情况说明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hint="eastAsia" w:ascii="黑体" w:eastAsia="黑体" w:cs="黑体" w:hAnsiTheme="minorHAnsi"/>
          <w:kern w:val="0"/>
        </w:rPr>
      </w:pPr>
      <w:r>
        <w:rPr>
          <w:rFonts w:hint="eastAsia" w:ascii="黑体" w:eastAsia="黑体" w:cs="黑体" w:hAnsiTheme="minorHAnsi"/>
          <w:kern w:val="0"/>
        </w:rPr>
        <w:t>一、</w:t>
      </w:r>
      <w:r>
        <w:rPr>
          <w:rFonts w:hint="eastAsia" w:ascii="黑体" w:eastAsia="黑体" w:cs="黑体" w:hAnsiTheme="minorHAnsi"/>
          <w:kern w:val="0"/>
          <w:lang w:eastAsia="zh-CN"/>
        </w:rPr>
        <w:t>石家庄市长安区人民政府阜康街道办事处</w:t>
      </w:r>
      <w:r>
        <w:rPr>
          <w:rFonts w:hint="eastAsia" w:ascii="黑体" w:eastAsia="黑体" w:cs="黑体" w:hAnsiTheme="minorHAnsi"/>
          <w:kern w:val="0"/>
        </w:rPr>
        <w:t>部门职责</w:t>
      </w:r>
    </w:p>
    <w:p>
      <w:pPr>
        <w:pStyle w:val="3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leftChars="0"/>
        <w:rPr>
          <w:rFonts w:hint="eastAsia" w:ascii="仿宋_GB2312" w:hAnsi="仿宋_GB2312" w:eastAsia="仿宋_GB2312"/>
          <w:sz w:val="32"/>
        </w:rPr>
      </w:pPr>
      <w:r>
        <w:rPr>
          <w:rFonts w:hint="eastAsia" w:ascii="仿宋_GB2312" w:hAnsi="仿宋_GB2312" w:eastAsia="仿宋_GB2312"/>
          <w:sz w:val="32"/>
          <w:lang w:eastAsia="zh-CN"/>
        </w:rPr>
        <w:t>（一）</w:t>
      </w:r>
      <w:r>
        <w:rPr>
          <w:rFonts w:hint="eastAsia" w:ascii="仿宋_GB2312" w:hAnsi="仿宋_GB2312" w:eastAsia="仿宋_GB2312"/>
          <w:sz w:val="32"/>
        </w:rPr>
        <w:t>宣传党的路线、方针、政策和国家的法律、法规，对辖区居民进行思想政治教育、社会主义与法制教育和爱国主义教育。</w:t>
      </w:r>
    </w:p>
    <w:p>
      <w:pPr>
        <w:pStyle w:val="3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leftChars="0"/>
        <w:rPr>
          <w:rFonts w:hint="eastAsia" w:ascii="仿宋_GB2312" w:hAnsi="仿宋_GB2312" w:eastAsia="仿宋_GB2312"/>
          <w:sz w:val="32"/>
        </w:rPr>
      </w:pPr>
      <w:r>
        <w:rPr>
          <w:rFonts w:hint="eastAsia" w:ascii="仿宋_GB2312" w:hAnsi="仿宋_GB2312" w:eastAsia="仿宋_GB2312"/>
          <w:sz w:val="32"/>
          <w:lang w:eastAsia="zh-CN"/>
        </w:rPr>
        <w:t>（二）</w:t>
      </w:r>
      <w:r>
        <w:rPr>
          <w:rFonts w:hint="eastAsia" w:ascii="仿宋_GB2312" w:hAnsi="仿宋_GB2312" w:eastAsia="仿宋_GB2312"/>
          <w:sz w:val="32"/>
        </w:rPr>
        <w:t>指导、帮助社区居委会开展组织建设和制度建设，帮助解决实际困难和问题，加强对居委会干部队伍的建设和管理。协调辖区单位搞好社区党建，精神文明建设，形成同创共建的大好局面。</w:t>
      </w:r>
    </w:p>
    <w:p>
      <w:pPr>
        <w:pStyle w:val="3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leftChars="0"/>
        <w:rPr>
          <w:rFonts w:hint="eastAsia" w:ascii="仿宋_GB2312" w:hAnsi="仿宋_GB2312" w:eastAsia="仿宋_GB2312"/>
          <w:sz w:val="32"/>
        </w:rPr>
      </w:pPr>
      <w:r>
        <w:rPr>
          <w:rFonts w:hint="eastAsia" w:ascii="仿宋_GB2312" w:hAnsi="仿宋_GB2312" w:eastAsia="仿宋_GB2312"/>
          <w:sz w:val="32"/>
          <w:lang w:eastAsia="zh-CN"/>
        </w:rPr>
        <w:t>（三）</w:t>
      </w:r>
      <w:r>
        <w:rPr>
          <w:rFonts w:hint="eastAsia" w:ascii="仿宋_GB2312" w:hAnsi="仿宋_GB2312" w:eastAsia="仿宋_GB2312"/>
          <w:sz w:val="32"/>
        </w:rPr>
        <w:t>做好社会救济，拥军优属工作，发展社会福利事业。</w:t>
      </w:r>
    </w:p>
    <w:p>
      <w:pPr>
        <w:pStyle w:val="3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leftChars="0"/>
        <w:rPr>
          <w:rFonts w:hint="eastAsia" w:eastAsia="仿宋_GB2312"/>
          <w:lang w:eastAsia="zh-CN"/>
        </w:rPr>
      </w:pPr>
      <w:r>
        <w:rPr>
          <w:rFonts w:hint="eastAsia" w:ascii="仿宋_GB2312" w:hAnsi="仿宋_GB2312" w:eastAsia="仿宋_GB2312"/>
          <w:sz w:val="32"/>
          <w:szCs w:val="22"/>
          <w:lang w:eastAsia="zh-CN"/>
        </w:rPr>
        <w:t>（四）</w:t>
      </w:r>
      <w:r>
        <w:rPr>
          <w:rFonts w:hint="eastAsia" w:ascii="仿宋_GB2312" w:hAnsi="仿宋_GB2312" w:eastAsia="仿宋_GB2312"/>
          <w:sz w:val="32"/>
          <w:szCs w:val="22"/>
        </w:rPr>
        <w:t>加强计划生育的规范化、法制化管理，搞好计划生育服务工作。</w:t>
      </w:r>
      <w:r>
        <w:rPr>
          <w:rFonts w:hint="eastAsia" w:ascii="仿宋_GB2312" w:hAnsi="仿宋_GB2312" w:eastAsia="仿宋_GB2312"/>
          <w:sz w:val="32"/>
          <w:szCs w:val="22"/>
          <w:lang w:eastAsia="zh-CN"/>
        </w:rPr>
        <w:tab/>
      </w:r>
    </w:p>
    <w:p>
      <w:pPr>
        <w:pStyle w:val="3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leftChars="0"/>
        <w:rPr>
          <w:rFonts w:hint="eastAsia" w:ascii="仿宋_GB2312" w:hAnsi="仿宋_GB2312" w:eastAsia="仿宋_GB2312"/>
          <w:sz w:val="32"/>
        </w:rPr>
      </w:pPr>
      <w:r>
        <w:rPr>
          <w:rFonts w:hint="eastAsia" w:ascii="仿宋_GB2312" w:hAnsi="仿宋_GB2312" w:eastAsia="仿宋_GB2312"/>
          <w:sz w:val="32"/>
          <w:lang w:eastAsia="zh-CN"/>
        </w:rPr>
        <w:t>（五）</w:t>
      </w:r>
      <w:r>
        <w:rPr>
          <w:rFonts w:hint="eastAsia" w:ascii="仿宋_GB2312" w:hAnsi="仿宋_GB2312" w:eastAsia="仿宋_GB2312"/>
          <w:sz w:val="32"/>
        </w:rPr>
        <w:t>积极参与城区建设和管理。</w:t>
      </w:r>
    </w:p>
    <w:p>
      <w:pPr>
        <w:pStyle w:val="3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leftChars="0"/>
        <w:rPr>
          <w:rFonts w:hint="eastAsia" w:ascii="仿宋_GB2312" w:hAnsi="仿宋_GB2312" w:eastAsia="仿宋_GB2312"/>
          <w:sz w:val="32"/>
        </w:rPr>
      </w:pPr>
      <w:r>
        <w:rPr>
          <w:rFonts w:hint="eastAsia" w:ascii="仿宋_GB2312" w:hAnsi="仿宋_GB2312" w:eastAsia="仿宋_GB2312"/>
          <w:sz w:val="32"/>
          <w:lang w:eastAsia="zh-CN"/>
        </w:rPr>
        <w:t>（六）</w:t>
      </w:r>
      <w:r>
        <w:rPr>
          <w:rFonts w:hint="eastAsia" w:ascii="仿宋_GB2312" w:hAnsi="仿宋_GB2312" w:eastAsia="仿宋_GB2312"/>
          <w:sz w:val="32"/>
        </w:rPr>
        <w:t>指导、帮助社区居委会开展组织建设和制度建设，帮助解决实际困难和问题，加强对居委会干部队伍的建设和管理。协调辖区单位搞好社区党建，精神文明建设，形成同创共建的大好局面。</w:t>
      </w:r>
    </w:p>
    <w:p>
      <w:pPr>
        <w:pStyle w:val="3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leftChars="0"/>
        <w:rPr>
          <w:rFonts w:hint="eastAsia" w:ascii="仿宋_GB2312" w:hAnsi="仿宋_GB2312" w:eastAsia="仿宋_GB2312"/>
          <w:sz w:val="32"/>
        </w:rPr>
      </w:pPr>
      <w:r>
        <w:rPr>
          <w:rFonts w:hint="eastAsia" w:ascii="仿宋_GB2312" w:hAnsi="仿宋_GB2312" w:eastAsia="仿宋_GB2312"/>
          <w:sz w:val="32"/>
          <w:lang w:eastAsia="zh-CN"/>
        </w:rPr>
        <w:t>（七）</w:t>
      </w:r>
      <w:r>
        <w:rPr>
          <w:rFonts w:hint="eastAsia" w:ascii="仿宋_GB2312" w:hAnsi="仿宋_GB2312" w:eastAsia="仿宋_GB2312"/>
          <w:sz w:val="32"/>
        </w:rPr>
        <w:t>协助有关部门搞好离退休人员的管理和劳动力资源的配置及下岗人员的就业工作。</w:t>
      </w:r>
    </w:p>
    <w:p>
      <w:pPr>
        <w:pStyle w:val="3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leftChars="0"/>
      </w:pPr>
      <w:r>
        <w:rPr>
          <w:rFonts w:hint="eastAsia" w:ascii="仿宋_GB2312" w:hAnsi="仿宋_GB2312" w:eastAsia="仿宋_GB2312"/>
          <w:sz w:val="32"/>
          <w:lang w:eastAsia="zh-CN"/>
        </w:rPr>
        <w:t>（八）</w:t>
      </w:r>
      <w:r>
        <w:rPr>
          <w:rFonts w:hint="eastAsia" w:ascii="仿宋_GB2312" w:hAnsi="仿宋_GB2312" w:eastAsia="仿宋_GB2312"/>
          <w:sz w:val="32"/>
        </w:rPr>
        <w:t>加强工青妇等社团工作，协助组织工作。</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w:t>
      </w:r>
      <w:r>
        <w:rPr>
          <w:rFonts w:hint="eastAsia" w:ascii="黑体" w:eastAsia="黑体" w:cs="黑体" w:hAnsiTheme="minorHAnsi"/>
          <w:kern w:val="0"/>
          <w:lang w:eastAsia="zh-CN"/>
        </w:rPr>
        <w:t>石家庄市长安区人民政府阜康街道办事处</w:t>
      </w:r>
      <w:r>
        <w:rPr>
          <w:rFonts w:hint="eastAsia" w:ascii="黑体" w:eastAsia="黑体" w:cs="黑体" w:hAnsiTheme="minorHAnsi"/>
          <w:kern w:val="0"/>
        </w:rPr>
        <w:t>部门决算单位构成</w:t>
      </w:r>
    </w:p>
    <w:p>
      <w:pPr>
        <w:autoSpaceDE w:val="0"/>
        <w:autoSpaceDN w:val="0"/>
        <w:adjustRightInd w:val="0"/>
        <w:spacing w:after="0" w:line="560" w:lineRule="exact"/>
        <w:ind w:firstLine="640" w:firstLineChars="200"/>
        <w:jc w:val="left"/>
        <w:rPr>
          <w:rFonts w:hint="eastAsia" w:ascii="仿宋_GB2312" w:eastAsia="仿宋_GB2312" w:cs="ArialUnicodeMS" w:hAnsiTheme="minorHAnsi"/>
          <w:kern w:val="0"/>
          <w:sz w:val="32"/>
          <w:szCs w:val="32"/>
          <w:lang w:eastAsia="zh-CN"/>
        </w:rPr>
        <w:sectPr>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2017 年度，</w:t>
      </w:r>
      <w:r>
        <w:rPr>
          <w:rFonts w:hint="eastAsia" w:ascii="仿宋_GB2312" w:eastAsia="仿宋_GB2312" w:cs="ArialUnicodeMS" w:hAnsiTheme="minorHAnsi"/>
          <w:color w:val="000000" w:themeColor="text1"/>
          <w:kern w:val="0"/>
          <w:sz w:val="32"/>
          <w:szCs w:val="32"/>
          <w14:textFill>
            <w14:solidFill>
              <w14:schemeClr w14:val="tx1"/>
            </w14:solidFill>
          </w14:textFill>
        </w:rPr>
        <w:t>长安区人民政府阜康街道办事处</w:t>
      </w:r>
      <w:r>
        <w:rPr>
          <w:rFonts w:hint="eastAsia" w:ascii="仿宋_GB2312" w:eastAsia="仿宋_GB2312" w:cs="ArialUnicodeMS" w:hAnsiTheme="minorHAnsi"/>
          <w:color w:val="000000" w:themeColor="text1"/>
          <w:kern w:val="0"/>
          <w:sz w:val="32"/>
          <w:szCs w:val="32"/>
          <w:lang w:eastAsia="zh-CN"/>
          <w14:textFill>
            <w14:solidFill>
              <w14:schemeClr w14:val="tx1"/>
            </w14:solidFill>
          </w14:textFill>
        </w:rPr>
        <w:t>是</w:t>
      </w:r>
      <w:r>
        <w:rPr>
          <w:rFonts w:hint="eastAsia" w:ascii="仿宋_GB2312" w:eastAsia="仿宋_GB2312" w:cs="ArialUnicodeMS" w:hAnsiTheme="minorHAnsi"/>
          <w:color w:val="000000" w:themeColor="text1"/>
          <w:kern w:val="0"/>
          <w:sz w:val="32"/>
          <w:szCs w:val="32"/>
          <w14:textFill>
            <w14:solidFill>
              <w14:schemeClr w14:val="tx1"/>
            </w14:solidFill>
          </w14:textFill>
        </w:rPr>
        <w:t>纳</w:t>
      </w:r>
      <w:r>
        <w:rPr>
          <w:rFonts w:hint="eastAsia" w:ascii="仿宋_GB2312" w:eastAsia="仿宋_GB2312" w:cs="ArialUnicodeMS" w:hAnsiTheme="minorHAnsi"/>
          <w:kern w:val="0"/>
          <w:sz w:val="32"/>
          <w:szCs w:val="32"/>
        </w:rPr>
        <w:t>入本部门决算汇编范围的独立核算单位</w:t>
      </w:r>
      <w:r>
        <w:rPr>
          <w:rFonts w:hint="eastAsia" w:ascii="仿宋_GB2312" w:eastAsia="仿宋_GB2312" w:cs="ArialUnicodeMS" w:hAnsiTheme="minorHAnsi"/>
          <w:kern w:val="0"/>
          <w:sz w:val="32"/>
          <w:szCs w:val="32"/>
          <w:lang w:eastAsia="zh-CN"/>
        </w:rPr>
        <w:t>，</w:t>
      </w:r>
      <w:r>
        <w:rPr>
          <w:rFonts w:hint="eastAsia" w:ascii="仿宋_GB2312" w:eastAsia="仿宋_GB2312" w:cs="ArialUnicodeMS" w:hAnsiTheme="minorHAnsi"/>
          <w:kern w:val="0"/>
          <w:sz w:val="32"/>
          <w:szCs w:val="32"/>
        </w:rPr>
        <w:t>单位基本性质为</w:t>
      </w:r>
      <w:r>
        <w:rPr>
          <w:rFonts w:hint="eastAsia" w:ascii="仿宋_GB2312" w:eastAsia="仿宋_GB2312" w:cs="ArialUnicodeMS" w:hAnsiTheme="minorHAnsi"/>
          <w:kern w:val="0"/>
          <w:sz w:val="32"/>
          <w:szCs w:val="32"/>
          <w:lang w:eastAsia="zh-CN"/>
        </w:rPr>
        <w:t>行政</w:t>
      </w:r>
      <w:r>
        <w:rPr>
          <w:rFonts w:hint="eastAsia" w:ascii="仿宋_GB2312" w:eastAsia="仿宋_GB2312" w:cs="ArialUnicodeMS" w:hAnsiTheme="minorHAnsi"/>
          <w:kern w:val="0"/>
          <w:sz w:val="32"/>
          <w:szCs w:val="32"/>
        </w:rPr>
        <w:t>单位，预算管理级次为</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级预算单位，执行</w:t>
      </w:r>
      <w:r>
        <w:rPr>
          <w:rFonts w:hint="eastAsia" w:ascii="仿宋_GB2312" w:eastAsia="仿宋_GB2312" w:cs="ArialUnicodeMS" w:hAnsiTheme="minorHAnsi"/>
          <w:kern w:val="0"/>
          <w:sz w:val="32"/>
          <w:szCs w:val="32"/>
          <w:lang w:eastAsia="zh-CN"/>
        </w:rPr>
        <w:t>行政</w:t>
      </w:r>
      <w:r>
        <w:rPr>
          <w:rFonts w:hint="eastAsia" w:ascii="仿宋_GB2312" w:eastAsia="仿宋_GB2312" w:cs="ArialUnicodeMS" w:hAnsiTheme="minorHAnsi"/>
          <w:kern w:val="0"/>
          <w:sz w:val="32"/>
          <w:szCs w:val="32"/>
        </w:rPr>
        <w:t>单位会计制度，较上年无增减变化</w:t>
      </w:r>
      <w:r>
        <w:rPr>
          <w:rFonts w:hint="eastAsia" w:ascii="仿宋_GB2312" w:eastAsia="仿宋_GB2312" w:cs="ArialUnicodeMS" w:hAnsiTheme="minorHAnsi"/>
          <w:kern w:val="0"/>
          <w:sz w:val="32"/>
          <w:szCs w:val="32"/>
          <w:lang w:eastAsia="zh-CN"/>
        </w:rPr>
        <w:t>。</w:t>
      </w:r>
    </w:p>
    <w:p>
      <w:pPr>
        <w:pStyle w:val="2"/>
        <w:spacing w:line="560" w:lineRule="exact"/>
        <w:jc w:val="center"/>
        <w:rPr>
          <w:rFonts w:hint="eastAsia" w:ascii="宋体" w:hAnsi="宋体" w:cs="ArialUnicodeMS"/>
          <w:color w:val="000000"/>
          <w:kern w:val="0"/>
        </w:rPr>
      </w:pPr>
      <w:r>
        <w:rPr>
          <w:rFonts w:hint="eastAsia" w:ascii="宋体" w:hAnsi="宋体" w:cs="ArialUnicodeMS"/>
          <w:color w:val="000000"/>
          <w:kern w:val="0"/>
        </w:rPr>
        <w:t>第二部分 2017年度部门决算报表</w:t>
      </w:r>
    </w:p>
    <w:tbl>
      <w:tblPr>
        <w:tblStyle w:val="12"/>
        <w:tblW w:w="127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2189"/>
        <w:gridCol w:w="2119"/>
        <w:gridCol w:w="2119"/>
        <w:gridCol w:w="2118"/>
        <w:gridCol w:w="1"/>
        <w:gridCol w:w="2119"/>
        <w:gridCol w:w="21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38" w:hRule="atLeast"/>
        </w:trPr>
        <w:tc>
          <w:tcPr>
            <w:tcW w:w="12785" w:type="dxa"/>
            <w:gridSpan w:val="7"/>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Arial" w:hAnsi="Arial" w:cs="Arial"/>
                <w:i w:val="0"/>
                <w:color w:val="000000"/>
                <w:sz w:val="24"/>
                <w:szCs w:val="24"/>
                <w:u w:val="none"/>
              </w:rPr>
            </w:pPr>
            <w:r>
              <w:rPr>
                <w:rFonts w:hint="eastAsia" w:ascii="宋体" w:hAnsi="宋体" w:eastAsia="宋体" w:cs="宋体"/>
                <w:i w:val="0"/>
                <w:color w:val="000000"/>
                <w:kern w:val="0"/>
                <w:sz w:val="24"/>
                <w:szCs w:val="24"/>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1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1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19" w:type="dxa"/>
            <w:gridSpan w:val="2"/>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1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20"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4" w:hRule="atLeast"/>
        </w:trPr>
        <w:tc>
          <w:tcPr>
            <w:tcW w:w="2189"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部门：石家庄市长安区人民政府阜康街道办事处</w:t>
            </w:r>
          </w:p>
        </w:tc>
        <w:tc>
          <w:tcPr>
            <w:tcW w:w="211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1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19" w:type="dxa"/>
            <w:gridSpan w:val="2"/>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1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20"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6427"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收入</w:t>
            </w:r>
          </w:p>
        </w:tc>
        <w:tc>
          <w:tcPr>
            <w:tcW w:w="6358" w:type="dxa"/>
            <w:gridSpan w:val="4"/>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00"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行次</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w:t>
            </w: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行次</w:t>
            </w:r>
          </w:p>
        </w:tc>
        <w:tc>
          <w:tcPr>
            <w:tcW w:w="212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69"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212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一、财政拨款收入</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1,646.17</w:t>
            </w: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一、一般公共服务支出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623.16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85"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其中：政府性基金预算财政拨款</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二、外交支出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二、上级补助收入</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三、国防支出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三、事业收入</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四、公共安全支出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33</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四、经营收入</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五、教育支出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34</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五、附属单位上缴收入</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六、科学技术支出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35</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六、其他收入</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七、文化体育与传媒支出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36</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八、社会保障和就业支出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374.26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九、医疗卫生与计划生育支出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38</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91.65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十、节能环保支出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39</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十一、城乡社区支出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40</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457.01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十二、农林水支出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41</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13</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十三、交通运输支出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42</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14</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十四、资源勘探信息等支出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43</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十五、商业服务业等支出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44</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十六、金融支出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十七、援助其他地区支出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46</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18</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十八、国土海洋气象等支出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47</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19</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十九、住房保障支出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48</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二十、粮油物资储备支出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二十一、其他支出</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50</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本年收入合计</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1,646.17</w:t>
            </w: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本年支出合计</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51</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1,641.14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用事业基金弥补收支差额</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23</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结余分配</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52</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年初结转和结余</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24</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4.24</w:t>
            </w: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其中：提取职工福利基金</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53</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其中：项目支出结转和结余</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25</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转入事业基金</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54</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26</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年末结转和结余</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55</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27</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其中：项目支出结转和结余</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56</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28</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57</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31" w:hRule="atLeast"/>
        </w:trPr>
        <w:tc>
          <w:tcPr>
            <w:tcW w:w="2189"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总计</w:t>
            </w:r>
          </w:p>
        </w:tc>
        <w:tc>
          <w:tcPr>
            <w:tcW w:w="211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29</w:t>
            </w:r>
          </w:p>
        </w:tc>
        <w:tc>
          <w:tcPr>
            <w:tcW w:w="211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1,650.41</w:t>
            </w:r>
          </w:p>
        </w:tc>
        <w:tc>
          <w:tcPr>
            <w:tcW w:w="21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总计</w:t>
            </w:r>
          </w:p>
        </w:tc>
        <w:tc>
          <w:tcPr>
            <w:tcW w:w="2120"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58</w:t>
            </w:r>
          </w:p>
        </w:tc>
        <w:tc>
          <w:tcPr>
            <w:tcW w:w="212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1,650.41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41" w:hRule="atLeast"/>
        </w:trPr>
        <w:tc>
          <w:tcPr>
            <w:tcW w:w="12785" w:type="dxa"/>
            <w:gridSpan w:val="7"/>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注：本表反映部门决算本年度的总收支和年末结转结余情况。</w:t>
            </w:r>
          </w:p>
        </w:tc>
      </w:tr>
    </w:tbl>
    <w:p>
      <w:pPr>
        <w:widowControl/>
        <w:spacing w:after="0" w:line="560" w:lineRule="exact"/>
        <w:ind w:firstLine="562" w:firstLineChars="200"/>
        <w:rPr>
          <w:rFonts w:hint="eastAsia" w:ascii="仿宋_GB2312" w:hAnsi="宋体" w:eastAsia="仿宋_GB2312"/>
          <w:b/>
          <w:sz w:val="28"/>
          <w:szCs w:val="28"/>
          <w:highlight w:val="yellow"/>
        </w:rPr>
      </w:pPr>
    </w:p>
    <w:tbl>
      <w:tblPr>
        <w:tblStyle w:val="12"/>
        <w:tblW w:w="127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335"/>
        <w:gridCol w:w="191"/>
        <w:gridCol w:w="190"/>
        <w:gridCol w:w="2392"/>
        <w:gridCol w:w="976"/>
        <w:gridCol w:w="975"/>
        <w:gridCol w:w="976"/>
        <w:gridCol w:w="662"/>
        <w:gridCol w:w="663"/>
        <w:gridCol w:w="1291"/>
        <w:gridCol w:w="11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785" w:type="dxa"/>
            <w:gridSpan w:val="11"/>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default" w:ascii="Arial" w:hAnsi="Arial" w:cs="Arial"/>
                <w:i w:val="0"/>
                <w:color w:val="000000"/>
                <w:sz w:val="21"/>
                <w:szCs w:val="21"/>
                <w:u w:val="none"/>
              </w:rPr>
            </w:pPr>
            <w:r>
              <w:rPr>
                <w:rFonts w:hint="eastAsia" w:ascii="宋体" w:hAnsi="宋体" w:eastAsia="宋体" w:cs="宋体"/>
                <w:i w:val="0"/>
                <w:color w:val="000000"/>
                <w:kern w:val="0"/>
                <w:sz w:val="21"/>
                <w:szCs w:val="21"/>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81" w:hRule="atLeast"/>
        </w:trPr>
        <w:tc>
          <w:tcPr>
            <w:tcW w:w="333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19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190"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239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97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9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97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66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663"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129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1134"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3335" w:type="dxa"/>
            <w:tcBorders>
              <w:right w:val="single" w:color="auto" w:sz="4" w:space="0"/>
            </w:tcBorders>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部门：石家庄市长安区人民政府阜康街道办事处</w:t>
            </w:r>
          </w:p>
        </w:tc>
        <w:tc>
          <w:tcPr>
            <w:tcW w:w="191" w:type="dxa"/>
            <w:tcBorders>
              <w:left w:val="single" w:color="auto" w:sz="4" w:space="0"/>
            </w:tcBorders>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190"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239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97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9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97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66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663"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129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06" w:lineRule="exact"/>
              <w:outlineLvl w:val="9"/>
              <w:rPr>
                <w:rFonts w:hint="default" w:ascii="Arial" w:hAnsi="Arial" w:cs="Arial"/>
                <w:i w:val="0"/>
                <w:color w:val="000000"/>
                <w:sz w:val="15"/>
                <w:szCs w:val="15"/>
                <w:u w:val="none"/>
              </w:rPr>
            </w:pPr>
          </w:p>
        </w:tc>
        <w:tc>
          <w:tcPr>
            <w:tcW w:w="1134"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3716" w:type="dxa"/>
            <w:gridSpan w:val="3"/>
            <w:vMerge w:val="restart"/>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科目编码</w:t>
            </w:r>
          </w:p>
        </w:tc>
        <w:tc>
          <w:tcPr>
            <w:tcW w:w="2392"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科目名称</w:t>
            </w:r>
          </w:p>
        </w:tc>
        <w:tc>
          <w:tcPr>
            <w:tcW w:w="976"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本年收入合计</w:t>
            </w:r>
          </w:p>
        </w:tc>
        <w:tc>
          <w:tcPr>
            <w:tcW w:w="975"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财政拨款收入</w:t>
            </w:r>
          </w:p>
        </w:tc>
        <w:tc>
          <w:tcPr>
            <w:tcW w:w="976"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上级补助收入</w:t>
            </w:r>
          </w:p>
        </w:tc>
        <w:tc>
          <w:tcPr>
            <w:tcW w:w="662"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事业收入</w:t>
            </w:r>
          </w:p>
        </w:tc>
        <w:tc>
          <w:tcPr>
            <w:tcW w:w="663"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经营收入</w:t>
            </w:r>
          </w:p>
        </w:tc>
        <w:tc>
          <w:tcPr>
            <w:tcW w:w="1291"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附属单位上缴收入</w:t>
            </w:r>
          </w:p>
        </w:tc>
        <w:tc>
          <w:tcPr>
            <w:tcW w:w="1134"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3716"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239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97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975"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97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66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66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1291"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1134"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3716"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239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97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975"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97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66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66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1291"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1134"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3716"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239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97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975"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97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66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66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1291"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1134"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335"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类</w:t>
            </w:r>
          </w:p>
        </w:tc>
        <w:tc>
          <w:tcPr>
            <w:tcW w:w="191"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款</w:t>
            </w:r>
          </w:p>
        </w:tc>
        <w:tc>
          <w:tcPr>
            <w:tcW w:w="190"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w:t>
            </w:r>
          </w:p>
        </w:tc>
        <w:tc>
          <w:tcPr>
            <w:tcW w:w="239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97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97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97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66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663"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w:t>
            </w:r>
          </w:p>
        </w:tc>
        <w:tc>
          <w:tcPr>
            <w:tcW w:w="12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w:t>
            </w:r>
          </w:p>
        </w:tc>
        <w:tc>
          <w:tcPr>
            <w:tcW w:w="113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335" w:type="dxa"/>
            <w:vMerge w:val="continue"/>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191"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190"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06" w:lineRule="exact"/>
              <w:jc w:val="center"/>
              <w:outlineLvl w:val="9"/>
              <w:rPr>
                <w:rFonts w:hint="eastAsia" w:ascii="宋体" w:hAnsi="宋体" w:eastAsia="宋体" w:cs="宋体"/>
                <w:i w:val="0"/>
                <w:color w:val="000000"/>
                <w:sz w:val="15"/>
                <w:szCs w:val="15"/>
                <w:u w:val="none"/>
              </w:rPr>
            </w:pPr>
          </w:p>
        </w:tc>
        <w:tc>
          <w:tcPr>
            <w:tcW w:w="239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1,646.17</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1,646.17</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b/>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b/>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b/>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b/>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b/>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一般公共服务支出</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623.39</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623.39</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20103</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政府办公厅（室）及相关机构事务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503.39</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503.39</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2010301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行政运行</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492.39</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492.39</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2010308</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信访事务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20132</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组织事务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2013299</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其他组织事务支出</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204</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公共安全支出</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20406</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司法</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2040604</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基层司法业务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社会保障和就业支出</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370.03</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370.03</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人力资源和社会保障管理事务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2080109</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社会保险经办机构</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20802</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民政管理事务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171.76</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171.76</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2080208</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基层政权和社区建设</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171.76</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171.76</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20805</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行政事业单位离退休</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2080501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归口管理的行政单位离退休</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抚恤</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2080801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死亡抚恤</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20825</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其他生活救助</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0.60</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0.60</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2082501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其他城市生活救助</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0.60</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0.60</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医疗卫生与计划生育支出</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91.65</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91.65</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21007</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计划生育事务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2100717</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计划生育服务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21011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行政事业单位医疗</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2101101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行政单位医疗</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城乡社区支出</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466.06</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466.06</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21201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城乡社区管理事务</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466.06</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466.06</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2120104</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城管执法</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2120199</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其他城乡社区管理事务支出</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450.00</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450.00</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住房保障支出</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22102</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住房改革支出</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716"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2210201</w:t>
            </w:r>
          </w:p>
        </w:tc>
        <w:tc>
          <w:tcPr>
            <w:tcW w:w="23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住房公积金</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6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2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c>
          <w:tcPr>
            <w:tcW w:w="113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785" w:type="dxa"/>
            <w:gridSpan w:val="11"/>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06"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注：本表反映部门本年度取得的各项收入情况。</w:t>
            </w:r>
          </w:p>
        </w:tc>
      </w:tr>
    </w:tbl>
    <w:p>
      <w:pPr>
        <w:widowControl/>
        <w:spacing w:after="0" w:line="560" w:lineRule="exact"/>
        <w:ind w:firstLine="562" w:firstLineChars="200"/>
        <w:rPr>
          <w:rFonts w:hint="eastAsia" w:ascii="仿宋_GB2312" w:hAnsi="宋体" w:eastAsia="仿宋_GB2312"/>
          <w:b/>
          <w:sz w:val="28"/>
          <w:szCs w:val="28"/>
          <w:highlight w:val="yellow"/>
        </w:rPr>
      </w:pPr>
    </w:p>
    <w:tbl>
      <w:tblPr>
        <w:tblStyle w:val="12"/>
        <w:tblW w:w="1278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024"/>
        <w:gridCol w:w="252"/>
        <w:gridCol w:w="252"/>
        <w:gridCol w:w="2492"/>
        <w:gridCol w:w="1214"/>
        <w:gridCol w:w="1336"/>
        <w:gridCol w:w="842"/>
        <w:gridCol w:w="1073"/>
        <w:gridCol w:w="773"/>
        <w:gridCol w:w="152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781" w:type="dxa"/>
            <w:gridSpan w:val="10"/>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default" w:ascii="Arial" w:hAnsi="Arial" w:cs="Arial"/>
                <w:i w:val="0"/>
                <w:color w:val="000000"/>
                <w:sz w:val="24"/>
                <w:szCs w:val="24"/>
                <w:u w:val="none"/>
              </w:rPr>
            </w:pPr>
            <w:r>
              <w:rPr>
                <w:rFonts w:hint="eastAsia" w:ascii="宋体" w:hAnsi="宋体" w:eastAsia="宋体" w:cs="宋体"/>
                <w:i w:val="0"/>
                <w:color w:val="000000"/>
                <w:kern w:val="0"/>
                <w:sz w:val="24"/>
                <w:szCs w:val="24"/>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302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25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25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249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121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133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84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1073"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773"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1523"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3024"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部门：石家庄市长安区人民政府阜康街道办事处</w:t>
            </w:r>
          </w:p>
        </w:tc>
        <w:tc>
          <w:tcPr>
            <w:tcW w:w="25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25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249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121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133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84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1073"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773"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outlineLvl w:val="9"/>
              <w:rPr>
                <w:rFonts w:hint="default" w:ascii="Arial" w:hAnsi="Arial" w:cs="Arial"/>
                <w:i w:val="0"/>
                <w:color w:val="000000"/>
                <w:sz w:val="15"/>
                <w:szCs w:val="15"/>
                <w:u w:val="none"/>
              </w:rPr>
            </w:pPr>
          </w:p>
        </w:tc>
        <w:tc>
          <w:tcPr>
            <w:tcW w:w="1523"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12" w:hRule="exact"/>
        </w:trPr>
        <w:tc>
          <w:tcPr>
            <w:tcW w:w="3528" w:type="dxa"/>
            <w:gridSpan w:val="3"/>
            <w:vMerge w:val="restart"/>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科目编码</w:t>
            </w:r>
          </w:p>
        </w:tc>
        <w:tc>
          <w:tcPr>
            <w:tcW w:w="2492"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科目名称</w:t>
            </w:r>
          </w:p>
        </w:tc>
        <w:tc>
          <w:tcPr>
            <w:tcW w:w="1214"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本年支出合计</w:t>
            </w:r>
          </w:p>
        </w:tc>
        <w:tc>
          <w:tcPr>
            <w:tcW w:w="1336"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w:t>
            </w:r>
          </w:p>
        </w:tc>
        <w:tc>
          <w:tcPr>
            <w:tcW w:w="842"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w:t>
            </w:r>
          </w:p>
        </w:tc>
        <w:tc>
          <w:tcPr>
            <w:tcW w:w="1073"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上缴上级支出</w:t>
            </w:r>
          </w:p>
        </w:tc>
        <w:tc>
          <w:tcPr>
            <w:tcW w:w="773"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经营支出</w:t>
            </w:r>
          </w:p>
        </w:tc>
        <w:tc>
          <w:tcPr>
            <w:tcW w:w="1523"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12" w:hRule="exact"/>
        </w:trPr>
        <w:tc>
          <w:tcPr>
            <w:tcW w:w="3528"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249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214"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33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84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07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77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52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3528"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249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214"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33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84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07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77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52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12" w:hRule="atLeast"/>
        </w:trPr>
        <w:tc>
          <w:tcPr>
            <w:tcW w:w="3528"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249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214"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33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84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07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77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1523"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24"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类</w:t>
            </w:r>
          </w:p>
        </w:tc>
        <w:tc>
          <w:tcPr>
            <w:tcW w:w="25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款</w:t>
            </w:r>
          </w:p>
        </w:tc>
        <w:tc>
          <w:tcPr>
            <w:tcW w:w="25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w:t>
            </w:r>
          </w:p>
        </w:tc>
        <w:tc>
          <w:tcPr>
            <w:tcW w:w="249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12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133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84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1073"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773"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w:t>
            </w:r>
          </w:p>
        </w:tc>
        <w:tc>
          <w:tcPr>
            <w:tcW w:w="1523"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24" w:type="dxa"/>
            <w:vMerge w:val="continue"/>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25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25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ind w:left="0" w:leftChars="0" w:right="0" w:rightChars="0"/>
              <w:jc w:val="center"/>
              <w:outlineLvl w:val="9"/>
              <w:rPr>
                <w:rFonts w:hint="eastAsia" w:ascii="宋体" w:hAnsi="宋体" w:eastAsia="宋体" w:cs="宋体"/>
                <w:i w:val="0"/>
                <w:color w:val="000000"/>
                <w:sz w:val="15"/>
                <w:szCs w:val="15"/>
                <w:u w:val="none"/>
              </w:rPr>
            </w:pPr>
          </w:p>
        </w:tc>
        <w:tc>
          <w:tcPr>
            <w:tcW w:w="249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1,641.14</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1,069.18</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571.96</w:t>
            </w: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b/>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b/>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b/>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77"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一般公共服务支出</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623.16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492.16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131.00</w:t>
            </w: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20103</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政府办公厅（室）及相关机构事务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503.16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492.16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2010301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行政运行</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492.16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492.16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2010308</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信访事务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20132</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组织事务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2013299</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其他组织事务支出</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204</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公共安全支出</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20406</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司法</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2040604</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基层司法业务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社会保障和就业支出</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374.26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374.26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人力资源和社会保障管理事务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2080109</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社会保险经办机构</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20802</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民政管理事务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175.95</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175.95</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2080208</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基层政权和社区建设</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175.95</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175.95</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20805</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行政事业单位离退休</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2080501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归口管理的行政单位离退休</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抚恤</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2080801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死亡抚恤</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20825</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其他生活救助</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0.65</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0.65</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2082501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其他城市生活救助</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0.65</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0.65</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医疗卫生与计划生育支出</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91.65</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91.65</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21007</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计划生育事务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2100717</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计划生育服务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21011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行政事业单位医疗</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2101101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行政单位医疗</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城乡社区支出</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457.01</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440.96</w:t>
            </w: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21201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城乡社区管理事务</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457.01</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440.96</w:t>
            </w: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2120104</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城管执法</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2120199</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其他城乡社区管理事务支出</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440.96</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0.00</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440.96</w:t>
            </w: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住房保障支出</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22102</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住房改革支出</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528"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2210201</w:t>
            </w:r>
          </w:p>
        </w:tc>
        <w:tc>
          <w:tcPr>
            <w:tcW w:w="249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住房公积金</w:t>
            </w:r>
          </w:p>
        </w:tc>
        <w:tc>
          <w:tcPr>
            <w:tcW w:w="121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133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84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0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77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c>
          <w:tcPr>
            <w:tcW w:w="152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781" w:type="dxa"/>
            <w:gridSpan w:val="10"/>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注：本表反映部门本年度各项支出情况。</w:t>
            </w:r>
          </w:p>
        </w:tc>
      </w:tr>
    </w:tbl>
    <w:p>
      <w:pPr>
        <w:widowControl/>
        <w:spacing w:after="0" w:line="560" w:lineRule="exact"/>
        <w:ind w:firstLine="562" w:firstLineChars="200"/>
        <w:rPr>
          <w:rFonts w:hint="eastAsia" w:ascii="仿宋_GB2312" w:hAnsi="宋体" w:eastAsia="仿宋_GB2312"/>
          <w:b/>
          <w:sz w:val="28"/>
          <w:szCs w:val="28"/>
          <w:highlight w:val="yellow"/>
        </w:rPr>
      </w:pPr>
    </w:p>
    <w:p>
      <w:pPr>
        <w:widowControl/>
        <w:spacing w:after="0" w:line="560" w:lineRule="exact"/>
        <w:ind w:firstLine="562" w:firstLineChars="200"/>
        <w:rPr>
          <w:rFonts w:hint="eastAsia" w:ascii="仿宋_GB2312" w:hAnsi="宋体" w:eastAsia="仿宋_GB2312"/>
          <w:b/>
          <w:sz w:val="28"/>
          <w:szCs w:val="28"/>
          <w:highlight w:val="yellow"/>
        </w:rPr>
      </w:pPr>
    </w:p>
    <w:tbl>
      <w:tblPr>
        <w:tblStyle w:val="12"/>
        <w:tblW w:w="1297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265"/>
        <w:gridCol w:w="551"/>
        <w:gridCol w:w="1625"/>
        <w:gridCol w:w="3264"/>
        <w:gridCol w:w="552"/>
        <w:gridCol w:w="1625"/>
        <w:gridCol w:w="1044"/>
        <w:gridCol w:w="10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90" w:hRule="atLeast"/>
        </w:trPr>
        <w:tc>
          <w:tcPr>
            <w:tcW w:w="12971" w:type="dxa"/>
            <w:gridSpan w:val="8"/>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Arial" w:hAnsi="Arial"/>
                <w:color w:val="000000"/>
                <w:sz w:val="28"/>
                <w:szCs w:val="28"/>
              </w:rPr>
            </w:pPr>
            <w:r>
              <w:rPr>
                <w:rFonts w:hint="eastAsia" w:ascii="宋体" w:hAnsi="宋体"/>
                <w:color w:val="000000"/>
                <w:sz w:val="28"/>
                <w:szCs w:val="28"/>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 w:hRule="atLeast"/>
        </w:trPr>
        <w:tc>
          <w:tcPr>
            <w:tcW w:w="326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551"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162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3264"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552"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162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1044"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104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 w:hRule="atLeast"/>
        </w:trPr>
        <w:tc>
          <w:tcPr>
            <w:tcW w:w="326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部门：石家庄市长安区人民政府阜康街道办事处</w:t>
            </w:r>
          </w:p>
        </w:tc>
        <w:tc>
          <w:tcPr>
            <w:tcW w:w="551"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162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3264"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552"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162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1044"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Arial" w:hAnsi="Arial"/>
                <w:color w:val="000000"/>
                <w:sz w:val="15"/>
                <w:szCs w:val="15"/>
              </w:rPr>
            </w:pPr>
          </w:p>
        </w:tc>
        <w:tc>
          <w:tcPr>
            <w:tcW w:w="104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single" w:color="000000" w:sz="6" w:space="0"/>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收     入</w:t>
            </w:r>
          </w:p>
        </w:tc>
        <w:tc>
          <w:tcPr>
            <w:tcW w:w="551" w:type="dxa"/>
            <w:tcBorders>
              <w:top w:val="single" w:color="000000" w:sz="6" w:space="0"/>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1625" w:type="dxa"/>
            <w:tcBorders>
              <w:top w:val="single" w:color="000000" w:sz="6" w:space="0"/>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3264" w:type="dxa"/>
            <w:tcBorders>
              <w:top w:val="single" w:color="000000" w:sz="6" w:space="0"/>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支     出</w:t>
            </w:r>
          </w:p>
        </w:tc>
        <w:tc>
          <w:tcPr>
            <w:tcW w:w="552" w:type="dxa"/>
            <w:tcBorders>
              <w:top w:val="single" w:color="000000" w:sz="6" w:space="0"/>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1625" w:type="dxa"/>
            <w:tcBorders>
              <w:top w:val="single" w:color="000000" w:sz="6" w:space="0"/>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1044" w:type="dxa"/>
            <w:tcBorders>
              <w:top w:val="single" w:color="000000" w:sz="6" w:space="0"/>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1045" w:type="dxa"/>
            <w:tcBorders>
              <w:top w:val="single" w:color="000000" w:sz="6" w:space="0"/>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2"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项目</w:t>
            </w: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行次</w:t>
            </w:r>
          </w:p>
        </w:tc>
        <w:tc>
          <w:tcPr>
            <w:tcW w:w="1625"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金额</w:t>
            </w: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项目</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行次</w:t>
            </w:r>
          </w:p>
        </w:tc>
        <w:tc>
          <w:tcPr>
            <w:tcW w:w="1625"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合计</w:t>
            </w:r>
          </w:p>
        </w:tc>
        <w:tc>
          <w:tcPr>
            <w:tcW w:w="104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一般公共预算财政拨款</w:t>
            </w:r>
          </w:p>
        </w:tc>
        <w:tc>
          <w:tcPr>
            <w:tcW w:w="1045"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615"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1625"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1625"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小计</w:t>
            </w:r>
          </w:p>
        </w:tc>
        <w:tc>
          <w:tcPr>
            <w:tcW w:w="104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一般公共预算财政拨款</w:t>
            </w:r>
          </w:p>
        </w:tc>
        <w:tc>
          <w:tcPr>
            <w:tcW w:w="1045"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栏次</w:t>
            </w: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1625"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w:t>
            </w: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栏次</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p>
        </w:tc>
        <w:tc>
          <w:tcPr>
            <w:tcW w:w="1625"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w:t>
            </w:r>
          </w:p>
        </w:tc>
        <w:tc>
          <w:tcPr>
            <w:tcW w:w="104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w:t>
            </w:r>
          </w:p>
        </w:tc>
        <w:tc>
          <w:tcPr>
            <w:tcW w:w="1045"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一、一般公共预算财政拨款</w:t>
            </w: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1,646.17</w:t>
            </w: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一、一般公共服务支出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28</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623.16</w:t>
            </w: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623.16</w:t>
            </w: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二、政府性基金预算财政拨款</w:t>
            </w: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二、外交支出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29</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三、国防支出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30</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四、公共安全支出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31</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7.94</w:t>
            </w: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7.94</w:t>
            </w: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5</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五、教育支出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32</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6</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六、科学技术支出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33</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7</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七、文化体育与传媒支出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34</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8</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八、社会保障和就业支出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35</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374.26</w:t>
            </w: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374.26</w:t>
            </w: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9</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九、医疗卫生与计划生育支出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36</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91.65</w:t>
            </w: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91.65</w:t>
            </w: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10</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十、节能环保支出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37</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11</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十一、城乡社区支出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38</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457.01</w:t>
            </w: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457.01</w:t>
            </w: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12</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十二、农林水支出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39</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13</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十三、交通运输支出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40</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14</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十四、资源勘探信息等支出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41</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15</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十五、商业服务业等支出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42</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16</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十六、金融支出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43</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17</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十七、援助其他地区支出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44</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18</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十八、国土海洋气象等支出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45</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19</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十九、住房保障支出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46</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87.11</w:t>
            </w: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87.11</w:t>
            </w: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20</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二十、粮油物资储备支出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47</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21</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二十一、其他支出</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48</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b/>
                <w:color w:val="000000"/>
                <w:sz w:val="15"/>
                <w:szCs w:val="15"/>
              </w:rPr>
            </w:pPr>
            <w:r>
              <w:rPr>
                <w:rFonts w:hint="eastAsia" w:ascii="宋体" w:hAnsi="宋体"/>
                <w:b/>
                <w:color w:val="000000"/>
                <w:sz w:val="15"/>
                <w:szCs w:val="15"/>
              </w:rPr>
              <w:t>本年收入合计</w:t>
            </w: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22</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1,646.17</w:t>
            </w: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b/>
                <w:color w:val="000000"/>
                <w:sz w:val="15"/>
                <w:szCs w:val="15"/>
              </w:rPr>
            </w:pPr>
            <w:r>
              <w:rPr>
                <w:rFonts w:hint="eastAsia" w:ascii="宋体" w:hAnsi="宋体"/>
                <w:b/>
                <w:color w:val="000000"/>
                <w:sz w:val="15"/>
                <w:szCs w:val="15"/>
              </w:rPr>
              <w:t>本年支出合计</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49</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1,641.14</w:t>
            </w: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1,641.14</w:t>
            </w: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年初财政拨款结转和结余</w:t>
            </w: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23</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4.24</w:t>
            </w: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年末财政拨款结转和结余</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50</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9.27</w:t>
            </w: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9.27</w:t>
            </w: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 xml:space="preserve">  一般公共预算财政拨款</w:t>
            </w: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24</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4.24</w:t>
            </w: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51</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 xml:space="preserve">  政府性基金预算财政拨款</w:t>
            </w: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25</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0.00</w:t>
            </w: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52</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26</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53</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single" w:color="000000" w:sz="6" w:space="0"/>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b/>
                <w:color w:val="000000"/>
                <w:sz w:val="15"/>
                <w:szCs w:val="15"/>
              </w:rPr>
            </w:pPr>
            <w:r>
              <w:rPr>
                <w:rFonts w:hint="eastAsia" w:ascii="宋体" w:hAnsi="宋体"/>
                <w:b/>
                <w:color w:val="000000"/>
                <w:sz w:val="15"/>
                <w:szCs w:val="15"/>
              </w:rPr>
              <w:t>总计</w:t>
            </w:r>
          </w:p>
        </w:tc>
        <w:tc>
          <w:tcPr>
            <w:tcW w:w="551"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27</w:t>
            </w:r>
          </w:p>
        </w:tc>
        <w:tc>
          <w:tcPr>
            <w:tcW w:w="1625" w:type="dxa"/>
            <w:tcBorders>
              <w:top w:val="nil"/>
              <w:left w:val="nil"/>
              <w:bottom w:val="single" w:color="000000" w:sz="6" w:space="0"/>
              <w:right w:val="single" w:color="000000" w:sz="6" w:space="0"/>
              <w:tl2br w:val="nil"/>
              <w:tr2bl w:val="nil"/>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1,650.41</w:t>
            </w:r>
          </w:p>
        </w:tc>
        <w:tc>
          <w:tcPr>
            <w:tcW w:w="3264"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b/>
                <w:color w:val="000000"/>
                <w:sz w:val="15"/>
                <w:szCs w:val="15"/>
              </w:rPr>
            </w:pPr>
            <w:r>
              <w:rPr>
                <w:rFonts w:hint="eastAsia" w:ascii="宋体" w:hAnsi="宋体"/>
                <w:b/>
                <w:color w:val="000000"/>
                <w:sz w:val="15"/>
                <w:szCs w:val="15"/>
              </w:rPr>
              <w:t>总计</w:t>
            </w:r>
          </w:p>
        </w:tc>
        <w:tc>
          <w:tcPr>
            <w:tcW w:w="552" w:type="dxa"/>
            <w:tcBorders>
              <w:top w:val="nil"/>
              <w:left w:val="nil"/>
              <w:bottom w:val="single" w:color="000000" w:sz="6" w:space="0"/>
              <w:right w:val="single" w:color="000000" w:sz="6" w:space="0"/>
              <w:tl2br w:val="nil"/>
              <w:tr2bl w:val="nil"/>
            </w:tcBorders>
            <w:shd w:val="solid" w:color="C0C0C0" w:fill="FFFFFF"/>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center"/>
              <w:textAlignment w:val="auto"/>
              <w:outlineLvl w:val="9"/>
              <w:rPr>
                <w:rFonts w:hint="eastAsia" w:ascii="宋体" w:hAnsi="宋体"/>
                <w:color w:val="000000"/>
                <w:sz w:val="15"/>
                <w:szCs w:val="15"/>
              </w:rPr>
            </w:pPr>
            <w:r>
              <w:rPr>
                <w:rFonts w:hint="eastAsia" w:ascii="宋体" w:hAnsi="宋体"/>
                <w:color w:val="000000"/>
                <w:sz w:val="15"/>
                <w:szCs w:val="15"/>
              </w:rPr>
              <w:t>54</w:t>
            </w:r>
          </w:p>
        </w:tc>
        <w:tc>
          <w:tcPr>
            <w:tcW w:w="162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1,650.41</w:t>
            </w:r>
          </w:p>
        </w:tc>
        <w:tc>
          <w:tcPr>
            <w:tcW w:w="1044"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r>
              <w:rPr>
                <w:rFonts w:hint="eastAsia" w:ascii="宋体" w:hAnsi="宋体"/>
                <w:color w:val="000000"/>
                <w:sz w:val="15"/>
                <w:szCs w:val="15"/>
              </w:rPr>
              <w:t>1,650.41</w:t>
            </w:r>
          </w:p>
        </w:tc>
        <w:tc>
          <w:tcPr>
            <w:tcW w:w="1045" w:type="dxa"/>
            <w:tcBorders>
              <w:top w:val="nil"/>
              <w:left w:val="nil"/>
              <w:bottom w:val="single" w:color="000000" w:sz="6" w:space="0"/>
              <w:right w:val="single" w:color="000000" w:sz="6"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right"/>
              <w:textAlignment w:val="auto"/>
              <w:outlineLvl w:val="9"/>
              <w:rPr>
                <w:rFonts w:hint="eastAsia" w:ascii="宋体" w:hAnsi="宋体"/>
                <w:color w:val="000000"/>
                <w:sz w:val="15"/>
                <w:szCs w:val="15"/>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26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r>
              <w:rPr>
                <w:rFonts w:hint="eastAsia" w:ascii="宋体" w:hAnsi="宋体"/>
                <w:color w:val="000000"/>
                <w:sz w:val="15"/>
                <w:szCs w:val="15"/>
              </w:rPr>
              <w:t>注：本表反映部门本年度一般公共预算财政拨款和政府性基金预算财政拨款的总收支和年末结转结余的情况。</w:t>
            </w:r>
          </w:p>
        </w:tc>
        <w:tc>
          <w:tcPr>
            <w:tcW w:w="551"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162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3264"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552"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162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1044"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c>
          <w:tcPr>
            <w:tcW w:w="1045" w:type="dxa"/>
            <w:tcBorders>
              <w:top w:val="nil"/>
              <w:left w:val="nil"/>
              <w:bottom w:val="nil"/>
              <w:right w:val="nil"/>
              <w:tl2br w:val="nil"/>
              <w:tr2bl w:val="nil"/>
            </w:tcBorders>
            <w:vAlign w:val="top"/>
          </w:tcPr>
          <w:p>
            <w:pPr>
              <w:keepNext w:val="0"/>
              <w:keepLines w:val="0"/>
              <w:pageBreakBefore w:val="0"/>
              <w:widowControl w:val="0"/>
              <w:kinsoku/>
              <w:wordWrap/>
              <w:overflowPunct/>
              <w:topLinePunct w:val="0"/>
              <w:autoSpaceDE/>
              <w:autoSpaceDN/>
              <w:bidi w:val="0"/>
              <w:adjustRightInd/>
              <w:snapToGrid/>
              <w:spacing w:beforeLines="0" w:afterLines="0" w:line="240" w:lineRule="exact"/>
              <w:jc w:val="left"/>
              <w:textAlignment w:val="auto"/>
              <w:outlineLvl w:val="9"/>
              <w:rPr>
                <w:rFonts w:hint="eastAsia" w:ascii="宋体" w:hAnsi="宋体"/>
                <w:color w:val="000000"/>
                <w:sz w:val="15"/>
                <w:szCs w:val="15"/>
              </w:rPr>
            </w:pPr>
          </w:p>
        </w:tc>
      </w:tr>
    </w:tbl>
    <w:p>
      <w:pPr>
        <w:widowControl/>
        <w:spacing w:after="0" w:line="560" w:lineRule="exact"/>
        <w:rPr>
          <w:rFonts w:hint="eastAsia" w:ascii="仿宋_GB2312" w:hAnsi="宋体" w:eastAsia="仿宋_GB2312"/>
          <w:b/>
          <w:sz w:val="28"/>
          <w:szCs w:val="28"/>
          <w:highlight w:val="yellow"/>
        </w:rPr>
      </w:pPr>
    </w:p>
    <w:tbl>
      <w:tblPr>
        <w:tblStyle w:val="12"/>
        <w:tblW w:w="1278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308"/>
        <w:gridCol w:w="252"/>
        <w:gridCol w:w="252"/>
        <w:gridCol w:w="1300"/>
        <w:gridCol w:w="475"/>
        <w:gridCol w:w="677"/>
        <w:gridCol w:w="829"/>
        <w:gridCol w:w="918"/>
        <w:gridCol w:w="918"/>
        <w:gridCol w:w="746"/>
        <w:gridCol w:w="918"/>
        <w:gridCol w:w="918"/>
        <w:gridCol w:w="746"/>
        <w:gridCol w:w="475"/>
        <w:gridCol w:w="677"/>
        <w:gridCol w:w="677"/>
        <w:gridCol w:w="6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781" w:type="dxa"/>
            <w:gridSpan w:val="17"/>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Arial" w:hAnsi="Arial" w:cs="Arial"/>
                <w:i w:val="0"/>
                <w:color w:val="000000"/>
                <w:sz w:val="15"/>
                <w:szCs w:val="15"/>
                <w:u w:val="none"/>
              </w:rPr>
            </w:pPr>
            <w:r>
              <w:rPr>
                <w:rFonts w:hint="eastAsia" w:ascii="宋体" w:hAnsi="宋体" w:eastAsia="宋体" w:cs="宋体"/>
                <w:i w:val="0"/>
                <w:color w:val="000000"/>
                <w:kern w:val="0"/>
                <w:sz w:val="28"/>
                <w:szCs w:val="28"/>
                <w:u w:val="none"/>
                <w:lang w:val="en-US" w:eastAsia="zh-CN" w:bidi="ar"/>
              </w:rPr>
              <w:t>一般公共预算财政拨款收入支出决算表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308"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5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5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300"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4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77"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82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918"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918"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918"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918"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4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77"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77"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95"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12086" w:type="dxa"/>
            <w:gridSpan w:val="16"/>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r>
              <w:rPr>
                <w:rFonts w:hint="eastAsia" w:ascii="宋体" w:hAnsi="宋体" w:eastAsia="宋体" w:cs="宋体"/>
                <w:i w:val="0"/>
                <w:color w:val="000000"/>
                <w:kern w:val="0"/>
                <w:sz w:val="15"/>
                <w:szCs w:val="15"/>
                <w:u w:val="none"/>
                <w:lang w:val="en-US" w:eastAsia="zh-CN" w:bidi="ar"/>
              </w:rPr>
              <w:t>部门：石家庄市长安区人民政府阜康街道办事处</w:t>
            </w:r>
          </w:p>
        </w:tc>
        <w:tc>
          <w:tcPr>
            <w:tcW w:w="695"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vMerge w:val="restart"/>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科目编码</w:t>
            </w:r>
          </w:p>
        </w:tc>
        <w:tc>
          <w:tcPr>
            <w:tcW w:w="1300"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科目名称</w:t>
            </w:r>
          </w:p>
        </w:tc>
        <w:tc>
          <w:tcPr>
            <w:tcW w:w="1981"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年初结转和结余</w:t>
            </w:r>
          </w:p>
        </w:tc>
        <w:tc>
          <w:tcPr>
            <w:tcW w:w="2582"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本年收入</w:t>
            </w:r>
          </w:p>
        </w:tc>
        <w:tc>
          <w:tcPr>
            <w:tcW w:w="2582"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本年支出</w:t>
            </w:r>
          </w:p>
        </w:tc>
        <w:tc>
          <w:tcPr>
            <w:tcW w:w="2524" w:type="dxa"/>
            <w:gridSpan w:val="4"/>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300"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677"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基本支出结转</w:t>
            </w:r>
          </w:p>
        </w:tc>
        <w:tc>
          <w:tcPr>
            <w:tcW w:w="829"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项目支出结转和结余</w:t>
            </w:r>
          </w:p>
        </w:tc>
        <w:tc>
          <w:tcPr>
            <w:tcW w:w="918"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918"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w:t>
            </w:r>
          </w:p>
        </w:tc>
        <w:tc>
          <w:tcPr>
            <w:tcW w:w="746"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w:t>
            </w:r>
          </w:p>
        </w:tc>
        <w:tc>
          <w:tcPr>
            <w:tcW w:w="918"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918"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w:t>
            </w:r>
          </w:p>
        </w:tc>
        <w:tc>
          <w:tcPr>
            <w:tcW w:w="746"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w:t>
            </w:r>
          </w:p>
        </w:tc>
        <w:tc>
          <w:tcPr>
            <w:tcW w:w="475"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677"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基本支出结转</w:t>
            </w:r>
          </w:p>
        </w:tc>
        <w:tc>
          <w:tcPr>
            <w:tcW w:w="1372"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70" w:hRule="atLeast"/>
        </w:trPr>
        <w:tc>
          <w:tcPr>
            <w:tcW w:w="1812"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300"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77"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829"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918"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918"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46"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918"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918"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46"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77"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77"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项目支出结转</w:t>
            </w:r>
          </w:p>
        </w:tc>
        <w:tc>
          <w:tcPr>
            <w:tcW w:w="695"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15" w:hRule="atLeast"/>
        </w:trPr>
        <w:tc>
          <w:tcPr>
            <w:tcW w:w="1812"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300"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77"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829"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918"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918"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46"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918"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918"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46"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77"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77"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9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308"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类</w:t>
            </w:r>
          </w:p>
        </w:tc>
        <w:tc>
          <w:tcPr>
            <w:tcW w:w="25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款</w:t>
            </w:r>
          </w:p>
        </w:tc>
        <w:tc>
          <w:tcPr>
            <w:tcW w:w="25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w:t>
            </w:r>
          </w:p>
        </w:tc>
        <w:tc>
          <w:tcPr>
            <w:tcW w:w="130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47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677"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82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9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9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w:t>
            </w:r>
          </w:p>
        </w:tc>
        <w:tc>
          <w:tcPr>
            <w:tcW w:w="74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w:t>
            </w:r>
          </w:p>
        </w:tc>
        <w:tc>
          <w:tcPr>
            <w:tcW w:w="9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w:t>
            </w:r>
          </w:p>
        </w:tc>
        <w:tc>
          <w:tcPr>
            <w:tcW w:w="918"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w:t>
            </w:r>
          </w:p>
        </w:tc>
        <w:tc>
          <w:tcPr>
            <w:tcW w:w="74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w:t>
            </w:r>
          </w:p>
        </w:tc>
        <w:tc>
          <w:tcPr>
            <w:tcW w:w="47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w:t>
            </w:r>
          </w:p>
        </w:tc>
        <w:tc>
          <w:tcPr>
            <w:tcW w:w="677"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w:t>
            </w:r>
          </w:p>
        </w:tc>
        <w:tc>
          <w:tcPr>
            <w:tcW w:w="677"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w:t>
            </w:r>
          </w:p>
        </w:tc>
        <w:tc>
          <w:tcPr>
            <w:tcW w:w="69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308" w:type="dxa"/>
            <w:vMerge w:val="continue"/>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25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25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30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4.24</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4.24</w:t>
            </w: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1,646.17</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1,065.17</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581.00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1,641.14</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1,069.18</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571.96</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9.27</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0.23</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9.04</w:t>
            </w: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一般公共服务支出</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623.39</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492.39</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131.00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623.16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492.16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131.00</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0.23</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0.23</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20103</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政府办公厅（室）及相关机构事务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503.39</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492.39</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503.16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492.16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0.23</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0.23</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2010301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行政运行</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492.39</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492.39</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492.16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492.16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0.00</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0.23</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0.23</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2010308</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信访事务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11.00</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20132</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组织事务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2013299</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其他组织事务支出</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120.00</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204</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公共安全支出</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20406</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司法</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2040604</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基层司法业务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7.94</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社会保障和就业支出</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4.24</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4.24</w:t>
            </w: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370.03</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370.03</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374.26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374.26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人力资源和社会保障管理事务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2080109</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社会保险经办机构</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31.17</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20802</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民政管理事务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4.19</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4.19</w:t>
            </w: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171.76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171.76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175.95</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175.95</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2080208</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基层政权和社区建设</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4.19</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4.19</w:t>
            </w: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171.76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171.76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175.95</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175.95</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20805</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行政事业单位离退休</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2080501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归口管理的行政单位离退休</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抚恤</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2080801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死亡抚恤</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20825</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其他生活救助</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0.05</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0.05</w:t>
            </w: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0.60</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0.65</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0.65</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2082501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其他城市生活救助</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0.05</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0.05</w:t>
            </w: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0.60</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0.65</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0.65</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医疗卫生与计划生育支出</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91.65</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91.65</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91.65</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91.65</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21007</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计划生育事务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2100717</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计划生育服务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32.29</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21011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行政事业单位医疗</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2101101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行政单位医疗</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59.36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城乡社区支出</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466.06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457.01</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440.96</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9.04</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9.04</w:t>
            </w: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21201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城乡社区管理事务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466.06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457.01</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440.96</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9.04</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9.04</w:t>
            </w: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2120104</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城管执法</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16.06</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2120199</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其他城乡社区管理事务支出</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450.00</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440.96</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440.96</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9.04</w:t>
            </w: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9.04</w:t>
            </w: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住房保障支出</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22102</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住房改革支出</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301" w:hRule="atLeast"/>
        </w:trPr>
        <w:tc>
          <w:tcPr>
            <w:tcW w:w="1812"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2210201</w:t>
            </w:r>
          </w:p>
        </w:tc>
        <w:tc>
          <w:tcPr>
            <w:tcW w:w="13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住房公积金</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8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918"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77"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9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bl>
    <w:p>
      <w:pPr>
        <w:widowControl/>
        <w:spacing w:after="0" w:line="560" w:lineRule="exact"/>
        <w:ind w:firstLine="562" w:firstLineChars="200"/>
        <w:rPr>
          <w:rFonts w:hint="eastAsia" w:ascii="仿宋_GB2312" w:hAnsi="宋体" w:eastAsia="仿宋_GB2312"/>
          <w:b/>
          <w:sz w:val="28"/>
          <w:szCs w:val="28"/>
          <w:highlight w:val="yellow"/>
        </w:rPr>
      </w:pPr>
    </w:p>
    <w:p>
      <w:pPr>
        <w:widowControl/>
        <w:spacing w:after="0" w:line="560" w:lineRule="exact"/>
        <w:ind w:firstLine="562" w:firstLineChars="200"/>
        <w:rPr>
          <w:rFonts w:hint="eastAsia" w:ascii="仿宋_GB2312" w:hAnsi="宋体" w:eastAsia="仿宋_GB2312"/>
          <w:b/>
          <w:sz w:val="28"/>
          <w:szCs w:val="28"/>
          <w:highlight w:val="yellow"/>
        </w:rPr>
      </w:pPr>
    </w:p>
    <w:tbl>
      <w:tblPr>
        <w:tblStyle w:val="12"/>
        <w:tblW w:w="127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062"/>
        <w:gridCol w:w="2204"/>
        <w:gridCol w:w="482"/>
        <w:gridCol w:w="622"/>
        <w:gridCol w:w="2491"/>
        <w:gridCol w:w="482"/>
        <w:gridCol w:w="622"/>
        <w:gridCol w:w="1761"/>
        <w:gridCol w:w="10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782" w:type="dxa"/>
            <w:gridSpan w:val="9"/>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Arial" w:hAnsi="Arial" w:cs="Arial"/>
                <w:i w:val="0"/>
                <w:color w:val="000000"/>
                <w:sz w:val="15"/>
                <w:szCs w:val="15"/>
                <w:u w:val="none"/>
              </w:rPr>
            </w:pPr>
            <w:r>
              <w:rPr>
                <w:rFonts w:hint="eastAsia" w:ascii="宋体" w:hAnsi="宋体" w:eastAsia="宋体" w:cs="宋体"/>
                <w:i w:val="0"/>
                <w:color w:val="000000"/>
                <w:kern w:val="0"/>
                <w:sz w:val="28"/>
                <w:szCs w:val="28"/>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306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20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48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2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49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48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2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76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056"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47" w:hRule="atLeast"/>
        </w:trPr>
        <w:tc>
          <w:tcPr>
            <w:tcW w:w="8861" w:type="dxa"/>
            <w:gridSpan w:val="5"/>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r>
              <w:rPr>
                <w:rFonts w:hint="eastAsia" w:ascii="宋体" w:hAnsi="宋体" w:eastAsia="宋体" w:cs="宋体"/>
                <w:i w:val="0"/>
                <w:color w:val="000000"/>
                <w:kern w:val="0"/>
                <w:sz w:val="15"/>
                <w:szCs w:val="15"/>
                <w:u w:val="none"/>
                <w:lang w:val="en-US" w:eastAsia="zh-CN" w:bidi="ar"/>
              </w:rPr>
              <w:t>部门：石家庄市长安区人民政府阜康街道办事处</w:t>
            </w:r>
          </w:p>
        </w:tc>
        <w:tc>
          <w:tcPr>
            <w:tcW w:w="48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2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817" w:type="dxa"/>
            <w:gridSpan w:val="2"/>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748"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人员经费</w:t>
            </w:r>
          </w:p>
        </w:tc>
        <w:tc>
          <w:tcPr>
            <w:tcW w:w="7034" w:type="dxa"/>
            <w:gridSpan w:val="6"/>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3062"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科目编码</w:t>
            </w:r>
          </w:p>
        </w:tc>
        <w:tc>
          <w:tcPr>
            <w:tcW w:w="2204"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科目名称</w:t>
            </w:r>
          </w:p>
        </w:tc>
        <w:tc>
          <w:tcPr>
            <w:tcW w:w="48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w:t>
            </w:r>
          </w:p>
        </w:tc>
        <w:tc>
          <w:tcPr>
            <w:tcW w:w="62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科目编码</w:t>
            </w:r>
          </w:p>
        </w:tc>
        <w:tc>
          <w:tcPr>
            <w:tcW w:w="2491"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科目名称</w:t>
            </w:r>
          </w:p>
        </w:tc>
        <w:tc>
          <w:tcPr>
            <w:tcW w:w="48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w:t>
            </w:r>
          </w:p>
        </w:tc>
        <w:tc>
          <w:tcPr>
            <w:tcW w:w="62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科目编码</w:t>
            </w:r>
          </w:p>
        </w:tc>
        <w:tc>
          <w:tcPr>
            <w:tcW w:w="1761"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科目名称</w:t>
            </w:r>
          </w:p>
        </w:tc>
        <w:tc>
          <w:tcPr>
            <w:tcW w:w="1056"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3062" w:type="dxa"/>
            <w:vMerge w:val="continue"/>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2204"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8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2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2491"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8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2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761"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056"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工资福利支出</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688.52</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商品和服务支出</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125.13</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其他资本性支出</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30101</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基本工资</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181.67</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30201</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办公费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75.03</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31001</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房屋建筑物购建</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30102</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津贴补贴</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175.45</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30202</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印刷费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31002</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办公设备购置</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30103</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奖金</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166.74</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30203</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咨询费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31003</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专用设备购置</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30104</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其他社会保障缴费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68.14</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30204</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手续费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31005</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基础设施建设</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30106</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伙食补助费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30205</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水费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0.68</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31006</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大型修缮</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30107</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绩效工资</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30206</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电费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4.20</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31007</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信息网络及软件购置更新</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30108</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机关事业单位基本养老保险缴费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30207</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邮电费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18.94</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31008</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物资储备</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30109</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职业年金缴费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30208</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取暖费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31009</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土地补偿</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30199</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其他工资福利支出</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96.53</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30209</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物业管理费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31010</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安置补助</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对个人和家庭的补助</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255.14</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30211</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差旅费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31011</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地上附着物和青苗补偿</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30301</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离休费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8.31</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30212</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因公出国（境）费用</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31012</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拆迁补偿</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30302</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退休费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143.06</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30213</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维修(护)费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31013</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公务用车购置</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30303</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退职（役）费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30214</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租赁费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31019</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其他交通工具购置</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30304</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抚恤金</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15.13</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30215</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会议费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31020</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产权参股</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30305</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生活补助</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0.66</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30216</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培训费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31099</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其他资本性支出</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30306</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救济费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30217</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公务接待费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304</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对企事业单位的补贴</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30"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30307</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医疗费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30218</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专用材料费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30401</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企业政策性补贴</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30308</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助学金</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30224</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被装购置费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30402</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事业单位补贴</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30309</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奖励金</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0.22</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30225</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专用燃料费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30403</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财政贴息</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30310</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生产补贴</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0.00</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30226</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劳务费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8.37</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30499</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其他对企事业单位的补贴</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30311</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住房公积金</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87.11</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30227</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委托业务费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307</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债务利息支出</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30312</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提租补贴</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30228</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工会经费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30701</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国内债务付息</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30313</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购房补贴</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30229</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福利费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5.52</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30707</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国外债务付息</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30314</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采暖补贴</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30231</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公务用车运行维护费</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1.47</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399</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其他支出</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30315</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物业服务补贴</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30239</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其他交通费用</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10.93</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39906</w:t>
            </w: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赠与</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30399</w:t>
            </w: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其他对个人和家庭的补助支出</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0.65</w:t>
            </w: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30240</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税金及附加费用</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3062"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2204"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30299</w:t>
            </w:r>
          </w:p>
        </w:tc>
        <w:tc>
          <w:tcPr>
            <w:tcW w:w="24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其他商品和服务支出</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622"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761"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266" w:type="dxa"/>
            <w:gridSpan w:val="2"/>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人员经费合计</w:t>
            </w:r>
          </w:p>
        </w:tc>
        <w:tc>
          <w:tcPr>
            <w:tcW w:w="4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943.66</w:t>
            </w:r>
          </w:p>
        </w:tc>
        <w:tc>
          <w:tcPr>
            <w:tcW w:w="5978" w:type="dxa"/>
            <w:gridSpan w:val="5"/>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公用经费合计</w:t>
            </w:r>
          </w:p>
        </w:tc>
        <w:tc>
          <w:tcPr>
            <w:tcW w:w="105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125.52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782" w:type="dxa"/>
            <w:gridSpan w:val="9"/>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注：本表反映部门本年度一般公共预算财政拨款基本支出情况。</w:t>
            </w:r>
          </w:p>
        </w:tc>
      </w:tr>
    </w:tbl>
    <w:p>
      <w:pPr>
        <w:widowControl/>
        <w:spacing w:after="0" w:line="560" w:lineRule="exact"/>
        <w:ind w:firstLine="562" w:firstLineChars="200"/>
        <w:rPr>
          <w:rFonts w:hint="eastAsia" w:ascii="仿宋_GB2312" w:hAnsi="宋体" w:eastAsia="仿宋_GB2312"/>
          <w:b/>
          <w:sz w:val="28"/>
          <w:szCs w:val="28"/>
          <w:highlight w:val="yellow"/>
        </w:rPr>
      </w:pPr>
    </w:p>
    <w:p>
      <w:pPr>
        <w:widowControl/>
        <w:spacing w:after="0" w:line="560" w:lineRule="exact"/>
        <w:ind w:firstLine="562" w:firstLineChars="200"/>
        <w:jc w:val="center"/>
        <w:rPr>
          <w:rFonts w:hint="eastAsia" w:ascii="仿宋_GB2312" w:hAnsi="宋体" w:eastAsia="仿宋_GB2312"/>
          <w:b/>
          <w:sz w:val="28"/>
          <w:szCs w:val="28"/>
          <w:highlight w:val="yellow"/>
        </w:rPr>
      </w:pPr>
    </w:p>
    <w:tbl>
      <w:tblPr>
        <w:tblStyle w:val="12"/>
        <w:tblW w:w="1277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731"/>
        <w:gridCol w:w="252"/>
        <w:gridCol w:w="252"/>
        <w:gridCol w:w="477"/>
        <w:gridCol w:w="475"/>
        <w:gridCol w:w="774"/>
        <w:gridCol w:w="1000"/>
        <w:gridCol w:w="475"/>
        <w:gridCol w:w="624"/>
        <w:gridCol w:w="2170"/>
        <w:gridCol w:w="475"/>
        <w:gridCol w:w="624"/>
        <w:gridCol w:w="624"/>
        <w:gridCol w:w="475"/>
        <w:gridCol w:w="774"/>
        <w:gridCol w:w="774"/>
        <w:gridCol w:w="8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778" w:type="dxa"/>
            <w:gridSpan w:val="17"/>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Arial" w:hAnsi="Arial" w:cs="Arial"/>
                <w:i w:val="0"/>
                <w:color w:val="000000"/>
                <w:sz w:val="28"/>
                <w:szCs w:val="28"/>
                <w:u w:val="none"/>
              </w:rPr>
            </w:pPr>
            <w:r>
              <w:rPr>
                <w:rFonts w:hint="eastAsia" w:ascii="宋体" w:hAnsi="宋体" w:eastAsia="宋体" w:cs="宋体"/>
                <w:i w:val="0"/>
                <w:color w:val="000000"/>
                <w:kern w:val="0"/>
                <w:sz w:val="28"/>
                <w:szCs w:val="28"/>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08" w:hRule="atLeast"/>
        </w:trPr>
        <w:tc>
          <w:tcPr>
            <w:tcW w:w="173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5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5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477"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4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7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000"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4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2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170"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4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2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62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4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7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7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802"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8230" w:type="dxa"/>
            <w:gridSpan w:val="10"/>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r>
              <w:rPr>
                <w:rFonts w:hint="eastAsia" w:ascii="宋体" w:hAnsi="宋体" w:eastAsia="宋体" w:cs="宋体"/>
                <w:i w:val="0"/>
                <w:color w:val="000000"/>
                <w:kern w:val="0"/>
                <w:sz w:val="15"/>
                <w:szCs w:val="15"/>
                <w:u w:val="none"/>
                <w:lang w:val="en-US" w:eastAsia="zh-CN" w:bidi="ar"/>
              </w:rPr>
              <w:t>部门：石家庄市长安区人民政府阜康街道办事处</w:t>
            </w:r>
          </w:p>
        </w:tc>
        <w:tc>
          <w:tcPr>
            <w:tcW w:w="4548" w:type="dxa"/>
            <w:gridSpan w:val="7"/>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235" w:type="dxa"/>
            <w:gridSpan w:val="3"/>
            <w:vMerge w:val="restart"/>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科目编码</w:t>
            </w:r>
          </w:p>
        </w:tc>
        <w:tc>
          <w:tcPr>
            <w:tcW w:w="477"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科目名称</w:t>
            </w:r>
          </w:p>
        </w:tc>
        <w:tc>
          <w:tcPr>
            <w:tcW w:w="2249"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年初结转和结余</w:t>
            </w:r>
          </w:p>
        </w:tc>
        <w:tc>
          <w:tcPr>
            <w:tcW w:w="3269"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本年收入</w:t>
            </w:r>
          </w:p>
        </w:tc>
        <w:tc>
          <w:tcPr>
            <w:tcW w:w="1723" w:type="dxa"/>
            <w:gridSpan w:val="3"/>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本年支出</w:t>
            </w:r>
          </w:p>
        </w:tc>
        <w:tc>
          <w:tcPr>
            <w:tcW w:w="2825" w:type="dxa"/>
            <w:gridSpan w:val="4"/>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235"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7"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774"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基本支出结转</w:t>
            </w:r>
          </w:p>
        </w:tc>
        <w:tc>
          <w:tcPr>
            <w:tcW w:w="1000"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项目支出结转和结余</w:t>
            </w:r>
          </w:p>
        </w:tc>
        <w:tc>
          <w:tcPr>
            <w:tcW w:w="475"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624"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w:t>
            </w:r>
          </w:p>
        </w:tc>
        <w:tc>
          <w:tcPr>
            <w:tcW w:w="2170"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w:t>
            </w:r>
          </w:p>
        </w:tc>
        <w:tc>
          <w:tcPr>
            <w:tcW w:w="475"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624"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w:t>
            </w:r>
          </w:p>
        </w:tc>
        <w:tc>
          <w:tcPr>
            <w:tcW w:w="624"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w:t>
            </w:r>
          </w:p>
        </w:tc>
        <w:tc>
          <w:tcPr>
            <w:tcW w:w="475"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774"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基本支出结转</w:t>
            </w:r>
          </w:p>
        </w:tc>
        <w:tc>
          <w:tcPr>
            <w:tcW w:w="1576" w:type="dxa"/>
            <w:gridSpan w:val="2"/>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10" w:hRule="atLeast"/>
        </w:trPr>
        <w:tc>
          <w:tcPr>
            <w:tcW w:w="2235" w:type="dxa"/>
            <w:gridSpan w:val="3"/>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7"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74"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000"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24"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2170"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24"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624"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74"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项目支出结转</w:t>
            </w:r>
          </w:p>
        </w:tc>
        <w:tc>
          <w:tcPr>
            <w:tcW w:w="80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731"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类</w:t>
            </w:r>
          </w:p>
        </w:tc>
        <w:tc>
          <w:tcPr>
            <w:tcW w:w="25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款</w:t>
            </w:r>
          </w:p>
        </w:tc>
        <w:tc>
          <w:tcPr>
            <w:tcW w:w="252"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w:t>
            </w:r>
          </w:p>
        </w:tc>
        <w:tc>
          <w:tcPr>
            <w:tcW w:w="477"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47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77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100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47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62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w:t>
            </w:r>
          </w:p>
        </w:tc>
        <w:tc>
          <w:tcPr>
            <w:tcW w:w="217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w:t>
            </w:r>
          </w:p>
        </w:tc>
        <w:tc>
          <w:tcPr>
            <w:tcW w:w="47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w:t>
            </w:r>
          </w:p>
        </w:tc>
        <w:tc>
          <w:tcPr>
            <w:tcW w:w="62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w:t>
            </w:r>
          </w:p>
        </w:tc>
        <w:tc>
          <w:tcPr>
            <w:tcW w:w="62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w:t>
            </w:r>
          </w:p>
        </w:tc>
        <w:tc>
          <w:tcPr>
            <w:tcW w:w="47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w:t>
            </w:r>
          </w:p>
        </w:tc>
        <w:tc>
          <w:tcPr>
            <w:tcW w:w="77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w:t>
            </w:r>
          </w:p>
        </w:tc>
        <w:tc>
          <w:tcPr>
            <w:tcW w:w="77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w:t>
            </w:r>
          </w:p>
        </w:tc>
        <w:tc>
          <w:tcPr>
            <w:tcW w:w="80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731" w:type="dxa"/>
            <w:vMerge w:val="continue"/>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25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252"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477"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100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217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c>
          <w:tcPr>
            <w:tcW w:w="80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b/>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235"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7"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00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7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8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235"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7"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00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7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8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235"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7"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00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7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8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235"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7"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00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7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8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235"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7"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00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7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8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2235" w:type="dxa"/>
            <w:gridSpan w:val="3"/>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7"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00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217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62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47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74"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8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778" w:type="dxa"/>
            <w:gridSpan w:val="17"/>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注：本表反映部门本年度政府性基金预算财政拨款收入支出及结转和结余情况。本部门本年度无相关收支及结转结余情况，按要求以空表列示。</w:t>
            </w:r>
          </w:p>
        </w:tc>
      </w:tr>
    </w:tbl>
    <w:p>
      <w:pPr>
        <w:widowControl/>
        <w:spacing w:after="0" w:line="560" w:lineRule="exact"/>
        <w:ind w:firstLine="562" w:firstLineChars="200"/>
        <w:rPr>
          <w:rFonts w:hint="eastAsia" w:ascii="仿宋_GB2312" w:hAnsi="宋体" w:eastAsia="仿宋_GB2312"/>
          <w:b/>
          <w:sz w:val="28"/>
          <w:szCs w:val="28"/>
          <w:highlight w:val="yellow"/>
        </w:rPr>
      </w:pPr>
    </w:p>
    <w:p>
      <w:pPr>
        <w:widowControl/>
        <w:spacing w:after="0" w:line="560" w:lineRule="exact"/>
        <w:ind w:firstLine="562" w:firstLineChars="200"/>
        <w:rPr>
          <w:rFonts w:hint="eastAsia" w:ascii="仿宋_GB2312" w:hAnsi="宋体" w:eastAsia="仿宋_GB2312"/>
          <w:b/>
          <w:sz w:val="28"/>
          <w:szCs w:val="28"/>
          <w:highlight w:val="yellow"/>
        </w:rPr>
      </w:pPr>
    </w:p>
    <w:p>
      <w:pPr>
        <w:widowControl/>
        <w:spacing w:after="0" w:line="560" w:lineRule="exact"/>
        <w:rPr>
          <w:rFonts w:hint="eastAsia" w:ascii="仿宋_GB2312" w:hAnsi="宋体" w:eastAsia="仿宋_GB2312"/>
          <w:b/>
          <w:sz w:val="28"/>
          <w:szCs w:val="28"/>
          <w:highlight w:val="yellow"/>
        </w:rPr>
      </w:pPr>
    </w:p>
    <w:tbl>
      <w:tblPr>
        <w:tblStyle w:val="12"/>
        <w:tblW w:w="1277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110"/>
        <w:gridCol w:w="84"/>
        <w:gridCol w:w="4"/>
        <w:gridCol w:w="89"/>
        <w:gridCol w:w="746"/>
        <w:gridCol w:w="1276"/>
        <w:gridCol w:w="3402"/>
        <w:gridCol w:w="391"/>
        <w:gridCol w:w="746"/>
        <w:gridCol w:w="745"/>
        <w:gridCol w:w="11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775" w:type="dxa"/>
            <w:gridSpan w:val="11"/>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Arial" w:hAnsi="Arial" w:cs="Arial"/>
                <w:i w:val="0"/>
                <w:color w:val="000000"/>
                <w:sz w:val="28"/>
                <w:szCs w:val="28"/>
                <w:u w:val="none"/>
              </w:rPr>
            </w:pPr>
            <w:r>
              <w:rPr>
                <w:rFonts w:hint="eastAsia" w:ascii="宋体" w:hAnsi="宋体" w:eastAsia="宋体" w:cs="宋体"/>
                <w:i w:val="0"/>
                <w:color w:val="000000"/>
                <w:kern w:val="0"/>
                <w:sz w:val="28"/>
                <w:szCs w:val="28"/>
                <w:u w:val="none"/>
                <w:lang w:val="en-US" w:eastAsia="zh-CN" w:bidi="ar"/>
              </w:rPr>
              <w:t>国有资本经营预算财政拨款收入支出决算表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4110"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88" w:type="dxa"/>
            <w:gridSpan w:val="2"/>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8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27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340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39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182"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4110"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编制单位：石家庄市长安区人民政府阜康街道办事处</w:t>
            </w:r>
          </w:p>
        </w:tc>
        <w:tc>
          <w:tcPr>
            <w:tcW w:w="88" w:type="dxa"/>
            <w:gridSpan w:val="2"/>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8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27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3402"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39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182"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5033" w:type="dxa"/>
            <w:gridSpan w:val="5"/>
            <w:vMerge w:val="restart"/>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w:t>
            </w:r>
          </w:p>
        </w:tc>
        <w:tc>
          <w:tcPr>
            <w:tcW w:w="1276"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年初结转和结余</w:t>
            </w:r>
          </w:p>
        </w:tc>
        <w:tc>
          <w:tcPr>
            <w:tcW w:w="3402"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本年收入</w:t>
            </w:r>
          </w:p>
        </w:tc>
        <w:tc>
          <w:tcPr>
            <w:tcW w:w="1882" w:type="dxa"/>
            <w:gridSpan w:val="3"/>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本年支出</w:t>
            </w:r>
          </w:p>
        </w:tc>
        <w:tc>
          <w:tcPr>
            <w:tcW w:w="1182"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5033" w:type="dxa"/>
            <w:gridSpan w:val="5"/>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27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340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882" w:type="dxa"/>
            <w:gridSpan w:val="3"/>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18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194" w:type="dxa"/>
            <w:gridSpan w:val="2"/>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功能分类科目编码</w:t>
            </w:r>
          </w:p>
        </w:tc>
        <w:tc>
          <w:tcPr>
            <w:tcW w:w="839" w:type="dxa"/>
            <w:gridSpan w:val="3"/>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科目名称</w:t>
            </w:r>
          </w:p>
        </w:tc>
        <w:tc>
          <w:tcPr>
            <w:tcW w:w="127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340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391"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小计</w:t>
            </w:r>
          </w:p>
        </w:tc>
        <w:tc>
          <w:tcPr>
            <w:tcW w:w="746"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基本支出</w:t>
            </w:r>
          </w:p>
        </w:tc>
        <w:tc>
          <w:tcPr>
            <w:tcW w:w="745"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项目支出</w:t>
            </w:r>
          </w:p>
        </w:tc>
        <w:tc>
          <w:tcPr>
            <w:tcW w:w="118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0" w:hRule="atLeast"/>
        </w:trPr>
        <w:tc>
          <w:tcPr>
            <w:tcW w:w="4194" w:type="dxa"/>
            <w:gridSpan w:val="2"/>
            <w:vMerge w:val="continue"/>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839" w:type="dxa"/>
            <w:gridSpan w:val="3"/>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27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340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391"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46"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45"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182"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033" w:type="dxa"/>
            <w:gridSpan w:val="5"/>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127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340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39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74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74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w:t>
            </w:r>
          </w:p>
        </w:tc>
        <w:tc>
          <w:tcPr>
            <w:tcW w:w="1182"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033" w:type="dxa"/>
            <w:gridSpan w:val="5"/>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127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40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9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18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94"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839" w:type="dxa"/>
            <w:gridSpan w:val="3"/>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27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4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91"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18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94"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839" w:type="dxa"/>
            <w:gridSpan w:val="3"/>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27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4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91"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18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94"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839" w:type="dxa"/>
            <w:gridSpan w:val="3"/>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27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4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91"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18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94"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839" w:type="dxa"/>
            <w:gridSpan w:val="3"/>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27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4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91"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18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94"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839" w:type="dxa"/>
            <w:gridSpan w:val="3"/>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27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4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91"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18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94" w:type="dxa"/>
            <w:gridSpan w:val="2"/>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839" w:type="dxa"/>
            <w:gridSpan w:val="3"/>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127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40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391"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6"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745"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c>
          <w:tcPr>
            <w:tcW w:w="1182"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righ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775" w:type="dxa"/>
            <w:gridSpan w:val="11"/>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注：本表反映部门本年度国有资本经营预算财政拨款支出情况。本部门本年度无相关支出情况，按要求以空表列示。</w:t>
            </w:r>
          </w:p>
        </w:tc>
      </w:tr>
    </w:tbl>
    <w:p>
      <w:pPr>
        <w:widowControl/>
        <w:spacing w:after="0" w:line="560" w:lineRule="exact"/>
        <w:ind w:firstLine="562" w:firstLineChars="200"/>
        <w:rPr>
          <w:rFonts w:hint="eastAsia" w:ascii="仿宋_GB2312" w:hAnsi="宋体" w:eastAsia="仿宋_GB2312"/>
          <w:b/>
          <w:sz w:val="28"/>
          <w:szCs w:val="28"/>
          <w:highlight w:val="yellow"/>
        </w:rPr>
      </w:pPr>
    </w:p>
    <w:p>
      <w:pPr>
        <w:widowControl/>
        <w:spacing w:after="0" w:line="560" w:lineRule="exact"/>
        <w:ind w:firstLine="562" w:firstLineChars="200"/>
        <w:rPr>
          <w:rFonts w:hint="eastAsia" w:ascii="仿宋_GB2312" w:hAnsi="宋体" w:eastAsia="仿宋_GB2312"/>
          <w:b/>
          <w:sz w:val="28"/>
          <w:szCs w:val="28"/>
          <w:highlight w:val="yellow"/>
        </w:rPr>
      </w:pPr>
    </w:p>
    <w:p>
      <w:pPr>
        <w:widowControl/>
        <w:spacing w:after="0" w:line="560" w:lineRule="exact"/>
        <w:ind w:firstLine="562" w:firstLineChars="200"/>
        <w:rPr>
          <w:rFonts w:hint="eastAsia" w:ascii="仿宋_GB2312" w:hAnsi="宋体" w:eastAsia="仿宋_GB2312"/>
          <w:b/>
          <w:sz w:val="28"/>
          <w:szCs w:val="28"/>
          <w:highlight w:val="yellow"/>
        </w:rPr>
      </w:pPr>
    </w:p>
    <w:p>
      <w:pPr>
        <w:widowControl/>
        <w:spacing w:after="0" w:line="560" w:lineRule="exact"/>
        <w:ind w:firstLine="562" w:firstLineChars="200"/>
        <w:rPr>
          <w:rFonts w:hint="eastAsia" w:ascii="仿宋_GB2312" w:hAnsi="宋体" w:eastAsia="仿宋_GB2312"/>
          <w:b/>
          <w:sz w:val="28"/>
          <w:szCs w:val="28"/>
          <w:highlight w:val="yellow"/>
        </w:rPr>
      </w:pPr>
    </w:p>
    <w:p>
      <w:pPr>
        <w:widowControl/>
        <w:spacing w:after="0" w:line="560" w:lineRule="exact"/>
        <w:ind w:firstLine="562" w:firstLineChars="200"/>
        <w:rPr>
          <w:rFonts w:hint="eastAsia" w:ascii="仿宋_GB2312" w:hAnsi="宋体" w:eastAsia="仿宋_GB2312"/>
          <w:b/>
          <w:sz w:val="28"/>
          <w:szCs w:val="28"/>
          <w:highlight w:val="yellow"/>
        </w:rPr>
      </w:pPr>
    </w:p>
    <w:tbl>
      <w:tblPr>
        <w:tblStyle w:val="12"/>
        <w:tblW w:w="127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151"/>
        <w:gridCol w:w="396"/>
        <w:gridCol w:w="575"/>
        <w:gridCol w:w="2363"/>
        <w:gridCol w:w="3614"/>
        <w:gridCol w:w="396"/>
        <w:gridCol w:w="12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785" w:type="dxa"/>
            <w:gridSpan w:val="7"/>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Arial" w:hAnsi="Arial" w:cs="Arial"/>
                <w:i w:val="0"/>
                <w:color w:val="000000"/>
                <w:sz w:val="28"/>
                <w:szCs w:val="28"/>
                <w:u w:val="none"/>
              </w:rPr>
            </w:pPr>
            <w:r>
              <w:rPr>
                <w:rFonts w:hint="eastAsia" w:ascii="宋体" w:hAnsi="宋体" w:eastAsia="宋体" w:cs="宋体"/>
                <w:i w:val="0"/>
                <w:color w:val="000000"/>
                <w:kern w:val="0"/>
                <w:sz w:val="28"/>
                <w:szCs w:val="28"/>
                <w:u w:val="none"/>
                <w:lang w:val="en-US" w:eastAsia="zh-CN" w:bidi="ar"/>
              </w:rPr>
              <w:t>"三公"经费及相关信息统计表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415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39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5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363"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361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39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290"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4151"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编制单位：石家庄市长安区人民政府阜康街道办事处</w:t>
            </w:r>
          </w:p>
        </w:tc>
        <w:tc>
          <w:tcPr>
            <w:tcW w:w="39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575"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2363"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3614"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396"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290"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  目</w:t>
            </w:r>
          </w:p>
        </w:tc>
        <w:tc>
          <w:tcPr>
            <w:tcW w:w="396"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行次</w:t>
            </w:r>
          </w:p>
        </w:tc>
        <w:tc>
          <w:tcPr>
            <w:tcW w:w="575" w:type="dxa"/>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预算数</w:t>
            </w:r>
          </w:p>
        </w:tc>
        <w:tc>
          <w:tcPr>
            <w:tcW w:w="2363" w:type="dxa"/>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统计数</w:t>
            </w:r>
          </w:p>
        </w:tc>
        <w:tc>
          <w:tcPr>
            <w:tcW w:w="3614" w:type="dxa"/>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  目</w:t>
            </w:r>
          </w:p>
        </w:tc>
        <w:tc>
          <w:tcPr>
            <w:tcW w:w="396" w:type="dxa"/>
            <w:vMerge w:val="restart"/>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行次</w:t>
            </w:r>
          </w:p>
        </w:tc>
        <w:tc>
          <w:tcPr>
            <w:tcW w:w="1290" w:type="dxa"/>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统计数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  次</w:t>
            </w:r>
          </w:p>
        </w:tc>
        <w:tc>
          <w:tcPr>
            <w:tcW w:w="39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575"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1</w:t>
            </w:r>
          </w:p>
        </w:tc>
        <w:tc>
          <w:tcPr>
            <w:tcW w:w="2363"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2</w:t>
            </w: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  次</w:t>
            </w:r>
          </w:p>
        </w:tc>
        <w:tc>
          <w:tcPr>
            <w:tcW w:w="396" w:type="dxa"/>
            <w:vMerge w:val="continue"/>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129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一、“三公”经费支出</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w:t>
            </w: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二、机关运行经费</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125.52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（一）支出合计</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1.47</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1.47</w:t>
            </w: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三、国有资产占用情况</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1．因公出国（境）费</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（一）车辆数合计（辆）</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23</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2．公务用车购置及运行维护费</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1.47</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1.47</w:t>
            </w: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1．部级领导干部用车</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24</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（1）公务用车购置费</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2．一般公务用车</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25</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（2）公务用车运行维护费</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1.47</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1.47</w:t>
            </w: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3．一般执法执勤用车</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26</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3．公务接待费</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4．特种专业技术用车</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27</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（1）国内接待费</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5．其他用车</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28</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其中：外事接待费</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（二）单价50万元以上通用设备（台，套）</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29</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（2）国（境）外接待费</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auto"/>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（三）单价100万元以上专用设备（台，套）</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30</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（二）相关统计数</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auto"/>
                <w:sz w:val="15"/>
                <w:szCs w:val="15"/>
                <w:u w:val="none"/>
              </w:rPr>
            </w:pPr>
            <w:r>
              <w:rPr>
                <w:rFonts w:hint="eastAsia" w:ascii="宋体" w:hAnsi="宋体" w:eastAsia="宋体" w:cs="宋体"/>
                <w:i w:val="0"/>
                <w:color w:val="auto"/>
                <w:kern w:val="0"/>
                <w:sz w:val="15"/>
                <w:szCs w:val="15"/>
                <w:u w:val="none"/>
                <w:lang w:val="en-US" w:eastAsia="zh-CN" w:bidi="ar"/>
              </w:rPr>
              <w:t>—</w:t>
            </w: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32</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1．因公出国（境）团组数（个）</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33</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2．因公出国（境）人次数（人）</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13</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34</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3．公务用车购置数（辆）</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14</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35</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4．公务用车保有量（辆）</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15</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36</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5．国内公务接待批次（个）</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16</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37</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其中：外事接待批次（个）</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17</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38</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6．国内公务接待人次（人）</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18</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39</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其中：外事接待人次（人）</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19</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40</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7．国（境）外公务接待批次（个）</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41</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4151"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8．国（境）外公务接待人次（人）</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w:t>
            </w:r>
          </w:p>
        </w:tc>
        <w:tc>
          <w:tcPr>
            <w:tcW w:w="57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w:t>
            </w:r>
          </w:p>
        </w:tc>
        <w:tc>
          <w:tcPr>
            <w:tcW w:w="2363"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3614"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w:t>
            </w:r>
          </w:p>
        </w:tc>
        <w:tc>
          <w:tcPr>
            <w:tcW w:w="396"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42</w:t>
            </w:r>
          </w:p>
        </w:tc>
        <w:tc>
          <w:tcPr>
            <w:tcW w:w="1290" w:type="dxa"/>
            <w:tcBorders>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785" w:type="dxa"/>
            <w:gridSpan w:val="7"/>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注：本表反映部门本年度“三公”经费、机关运行经费和国有资产占用情况等相关统计指标。</w:t>
            </w:r>
          </w:p>
        </w:tc>
      </w:tr>
    </w:tbl>
    <w:p>
      <w:pPr>
        <w:widowControl/>
        <w:spacing w:after="0" w:line="560" w:lineRule="exact"/>
        <w:rPr>
          <w:rFonts w:hint="eastAsia" w:ascii="仿宋_GB2312" w:hAnsi="宋体" w:eastAsia="仿宋_GB2312"/>
          <w:b/>
          <w:sz w:val="28"/>
          <w:szCs w:val="28"/>
          <w:highlight w:val="yellow"/>
        </w:rPr>
      </w:pPr>
    </w:p>
    <w:tbl>
      <w:tblPr>
        <w:tblStyle w:val="12"/>
        <w:tblW w:w="1277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347"/>
        <w:gridCol w:w="739"/>
        <w:gridCol w:w="740"/>
        <w:gridCol w:w="1661"/>
        <w:gridCol w:w="1661"/>
        <w:gridCol w:w="969"/>
        <w:gridCol w:w="16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2778" w:type="dxa"/>
            <w:gridSpan w:val="7"/>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default" w:ascii="Arial" w:hAnsi="Arial" w:cs="Arial"/>
                <w:i w:val="0"/>
                <w:color w:val="000000"/>
                <w:sz w:val="28"/>
                <w:szCs w:val="28"/>
                <w:u w:val="none"/>
              </w:rPr>
            </w:pPr>
            <w:r>
              <w:rPr>
                <w:rFonts w:hint="eastAsia" w:ascii="宋体" w:hAnsi="宋体" w:eastAsia="宋体" w:cs="宋体"/>
                <w:i w:val="0"/>
                <w:color w:val="000000"/>
                <w:kern w:val="0"/>
                <w:sz w:val="28"/>
                <w:szCs w:val="28"/>
                <w:u w:val="none"/>
                <w:lang w:val="en-US" w:eastAsia="zh-CN" w:bidi="ar"/>
              </w:rPr>
              <w:t>政府采购情况表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5347"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3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0"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66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66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96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661"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公开10表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6" w:hRule="atLeast"/>
        </w:trPr>
        <w:tc>
          <w:tcPr>
            <w:tcW w:w="5347"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编制单位：石家庄市长安区人民政府阜康街道办事处</w:t>
            </w:r>
          </w:p>
        </w:tc>
        <w:tc>
          <w:tcPr>
            <w:tcW w:w="73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740"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66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661"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969" w:type="dxa"/>
            <w:shd w:val="clear" w:color="auto" w:fill="auto"/>
            <w:vAlign w:val="bottom"/>
          </w:tcPr>
          <w:p>
            <w:pPr>
              <w:keepNext w:val="0"/>
              <w:keepLines w:val="0"/>
              <w:pageBreakBefore w:val="0"/>
              <w:widowControl/>
              <w:kinsoku/>
              <w:wordWrap/>
              <w:overflowPunct/>
              <w:topLinePunct w:val="0"/>
              <w:autoSpaceDE/>
              <w:autoSpaceDN/>
              <w:bidi w:val="0"/>
              <w:adjustRightInd/>
              <w:snapToGrid/>
              <w:spacing w:line="240" w:lineRule="exact"/>
              <w:outlineLvl w:val="9"/>
              <w:rPr>
                <w:rFonts w:hint="default" w:ascii="Arial" w:hAnsi="Arial" w:cs="Arial"/>
                <w:i w:val="0"/>
                <w:color w:val="000000"/>
                <w:sz w:val="15"/>
                <w:szCs w:val="15"/>
                <w:u w:val="none"/>
              </w:rPr>
            </w:pPr>
          </w:p>
        </w:tc>
        <w:tc>
          <w:tcPr>
            <w:tcW w:w="1661" w:type="dxa"/>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bottom"/>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vMerge w:val="restart"/>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w:t>
            </w:r>
          </w:p>
        </w:tc>
        <w:tc>
          <w:tcPr>
            <w:tcW w:w="7431" w:type="dxa"/>
            <w:gridSpan w:val="6"/>
            <w:tcBorders>
              <w:top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采购计划金额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39"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总计</w:t>
            </w:r>
          </w:p>
        </w:tc>
        <w:tc>
          <w:tcPr>
            <w:tcW w:w="5031" w:type="dxa"/>
            <w:gridSpan w:val="4"/>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采购预算(财政性资金)</w:t>
            </w:r>
          </w:p>
        </w:tc>
        <w:tc>
          <w:tcPr>
            <w:tcW w:w="1661"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非财政性资金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vMerge w:val="continue"/>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39"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4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一般公共预算</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政府性基金预算</w:t>
            </w:r>
          </w:p>
        </w:tc>
        <w:tc>
          <w:tcPr>
            <w:tcW w:w="96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其他资金</w:t>
            </w:r>
          </w:p>
        </w:tc>
        <w:tc>
          <w:tcPr>
            <w:tcW w:w="1661"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73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74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96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      计</w:t>
            </w:r>
          </w:p>
        </w:tc>
        <w:tc>
          <w:tcPr>
            <w:tcW w:w="73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113.64</w:t>
            </w:r>
          </w:p>
        </w:tc>
        <w:tc>
          <w:tcPr>
            <w:tcW w:w="74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113.64</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6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113.64</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货物</w:t>
            </w:r>
          </w:p>
        </w:tc>
        <w:tc>
          <w:tcPr>
            <w:tcW w:w="73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19.80</w:t>
            </w:r>
          </w:p>
        </w:tc>
        <w:tc>
          <w:tcPr>
            <w:tcW w:w="74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19.80</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6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19.80</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工程</w:t>
            </w:r>
          </w:p>
        </w:tc>
        <w:tc>
          <w:tcPr>
            <w:tcW w:w="73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93.84</w:t>
            </w:r>
          </w:p>
        </w:tc>
        <w:tc>
          <w:tcPr>
            <w:tcW w:w="74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93.84</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6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93.84</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服务</w:t>
            </w:r>
          </w:p>
        </w:tc>
        <w:tc>
          <w:tcPr>
            <w:tcW w:w="73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6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vMerge w:val="restart"/>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项目</w:t>
            </w:r>
          </w:p>
        </w:tc>
        <w:tc>
          <w:tcPr>
            <w:tcW w:w="7431" w:type="dxa"/>
            <w:gridSpan w:val="6"/>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实际采购金额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vMerge w:val="continue"/>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39"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总计</w:t>
            </w:r>
          </w:p>
        </w:tc>
        <w:tc>
          <w:tcPr>
            <w:tcW w:w="5031" w:type="dxa"/>
            <w:gridSpan w:val="4"/>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采购预算(财政性资金)</w:t>
            </w:r>
          </w:p>
        </w:tc>
        <w:tc>
          <w:tcPr>
            <w:tcW w:w="1661" w:type="dxa"/>
            <w:vMerge w:val="restart"/>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非财政性资金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vMerge w:val="continue"/>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39"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c>
          <w:tcPr>
            <w:tcW w:w="74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一般公共预算</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政府性基金预算</w:t>
            </w:r>
          </w:p>
        </w:tc>
        <w:tc>
          <w:tcPr>
            <w:tcW w:w="96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其他资金</w:t>
            </w:r>
          </w:p>
        </w:tc>
        <w:tc>
          <w:tcPr>
            <w:tcW w:w="1661" w:type="dxa"/>
            <w:vMerge w:val="continue"/>
            <w:tcBorders>
              <w:bottom w:val="single" w:color="000000" w:sz="4" w:space="0"/>
              <w:right w:val="single" w:color="000000" w:sz="4" w:space="0"/>
            </w:tcBorders>
            <w:shd w:val="clear" w:color="FFFFFF" w:fill="C0C0C0"/>
            <w:vAlign w:val="center"/>
          </w:tcPr>
          <w:p>
            <w:pPr>
              <w:keepNext w:val="0"/>
              <w:keepLines w:val="0"/>
              <w:pageBreakBefore w:val="0"/>
              <w:widowControl/>
              <w:kinsoku/>
              <w:wordWrap/>
              <w:overflowPunct/>
              <w:topLinePunct w:val="0"/>
              <w:autoSpaceDE/>
              <w:autoSpaceDN/>
              <w:bidi w:val="0"/>
              <w:adjustRightInd/>
              <w:snapToGrid/>
              <w:spacing w:line="240" w:lineRule="exact"/>
              <w:jc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73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7</w:t>
            </w:r>
          </w:p>
        </w:tc>
        <w:tc>
          <w:tcPr>
            <w:tcW w:w="740"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9</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w:t>
            </w:r>
          </w:p>
        </w:tc>
        <w:tc>
          <w:tcPr>
            <w:tcW w:w="969"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11</w:t>
            </w:r>
          </w:p>
        </w:tc>
        <w:tc>
          <w:tcPr>
            <w:tcW w:w="1661" w:type="dxa"/>
            <w:tcBorders>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      计</w:t>
            </w:r>
          </w:p>
        </w:tc>
        <w:tc>
          <w:tcPr>
            <w:tcW w:w="73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106.65</w:t>
            </w:r>
          </w:p>
        </w:tc>
        <w:tc>
          <w:tcPr>
            <w:tcW w:w="74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106.65</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6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106.65</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货物</w:t>
            </w:r>
          </w:p>
        </w:tc>
        <w:tc>
          <w:tcPr>
            <w:tcW w:w="73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18.04</w:t>
            </w:r>
          </w:p>
        </w:tc>
        <w:tc>
          <w:tcPr>
            <w:tcW w:w="74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18.04</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6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18.04</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工程</w:t>
            </w:r>
          </w:p>
        </w:tc>
        <w:tc>
          <w:tcPr>
            <w:tcW w:w="73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88.61</w:t>
            </w:r>
          </w:p>
        </w:tc>
        <w:tc>
          <w:tcPr>
            <w:tcW w:w="74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88.61</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6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88.61</w:t>
            </w: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5347" w:type="dxa"/>
            <w:tcBorders>
              <w:left w:val="single" w:color="000000" w:sz="4" w:space="0"/>
              <w:bottom w:val="single" w:color="000000" w:sz="4" w:space="0"/>
              <w:right w:val="single" w:color="000000" w:sz="4" w:space="0"/>
            </w:tcBorders>
            <w:shd w:val="clear" w:color="FFFFFF" w:fill="C0C0C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服务</w:t>
            </w:r>
          </w:p>
        </w:tc>
        <w:tc>
          <w:tcPr>
            <w:tcW w:w="73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740"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96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c>
          <w:tcPr>
            <w:tcW w:w="16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outlineLvl w:val="9"/>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01" w:hRule="atLeast"/>
        </w:trPr>
        <w:tc>
          <w:tcPr>
            <w:tcW w:w="12778" w:type="dxa"/>
            <w:gridSpan w:val="7"/>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outlineLvl w:val="9"/>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注：本表反映部门本年度纳入部门预算范围的政府采购预算及支出情况。</w:t>
            </w:r>
          </w:p>
        </w:tc>
      </w:tr>
    </w:tbl>
    <w:p>
      <w:pPr>
        <w:widowControl/>
        <w:spacing w:after="0" w:line="560" w:lineRule="exact"/>
        <w:ind w:firstLine="883" w:firstLineChars="200"/>
        <w:jc w:val="left"/>
        <w:rPr>
          <w:rFonts w:hint="eastAsia" w:cs="MS-UIGothic,Bold" w:asciiTheme="majorEastAsia" w:hAnsiTheme="majorEastAsia" w:eastAsiaTheme="majorEastAsia"/>
          <w:b/>
          <w:bCs/>
          <w:kern w:val="0"/>
          <w:sz w:val="44"/>
          <w:szCs w:val="44"/>
        </w:rPr>
      </w:pPr>
    </w:p>
    <w:p>
      <w:pPr>
        <w:widowControl/>
        <w:spacing w:after="0" w:line="560" w:lineRule="exact"/>
        <w:ind w:firstLine="883" w:firstLineChars="200"/>
        <w:jc w:val="left"/>
        <w:rPr>
          <w:rFonts w:hint="eastAsia" w:cs="MS-UIGothic,Bold" w:asciiTheme="majorEastAsia" w:hAnsiTheme="majorEastAsia" w:eastAsiaTheme="majorEastAsia"/>
          <w:b/>
          <w:bCs/>
          <w:kern w:val="0"/>
          <w:sz w:val="44"/>
          <w:szCs w:val="44"/>
          <w:lang w:eastAsia="zh-CN"/>
        </w:rPr>
        <w:sectPr>
          <w:pgSz w:w="16838" w:h="11906" w:orient="landscape"/>
          <w:pgMar w:top="1588" w:right="2098" w:bottom="1474" w:left="1985" w:header="851" w:footer="992" w:gutter="0"/>
          <w:cols w:space="425" w:num="1"/>
          <w:docGrid w:type="lines" w:linePitch="312" w:charSpace="0"/>
        </w:sectPr>
      </w:pP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w:t>
      </w:r>
      <w:r>
        <w:rPr>
          <w:rFonts w:cs="ArialUnicodeMS" w:asciiTheme="majorEastAsia" w:hAnsiTheme="majorEastAsia" w:eastAsiaTheme="majorEastAsia"/>
          <w:color w:val="000000"/>
          <w:kern w:val="0"/>
        </w:rPr>
        <w:t xml:space="preserve"> </w:t>
      </w:r>
      <w:r>
        <w:rPr>
          <w:rFonts w:hint="eastAsia" w:cs="ArialUnicodeMS" w:asciiTheme="majorEastAsia" w:hAnsiTheme="majorEastAsia" w:eastAsiaTheme="majorEastAsia"/>
          <w:color w:val="000000"/>
          <w:kern w:val="0"/>
        </w:rPr>
        <w:t>部门决算情况说明</w:t>
      </w:r>
    </w:p>
    <w:p>
      <w:pPr>
        <w:pStyle w:val="3"/>
        <w:spacing w:before="0" w:after="0" w:line="56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60" w:lineRule="exact"/>
        <w:ind w:firstLine="640" w:firstLineChars="200"/>
        <w:rPr>
          <w:rFonts w:ascii="仿宋_GB2312" w:eastAsia="仿宋_GB2312" w:cs="DengXian-Regular"/>
          <w:b w:val="0"/>
          <w:bCs w:val="0"/>
          <w:sz w:val="32"/>
          <w:szCs w:val="32"/>
        </w:rPr>
      </w:pPr>
      <w:r>
        <w:rPr>
          <w:rFonts w:hint="eastAsia" w:ascii="仿宋_GB2312" w:eastAsia="仿宋_GB2312" w:cs="DengXian-Regular"/>
          <w:sz w:val="32"/>
          <w:szCs w:val="32"/>
        </w:rPr>
        <w:t>本部门2017年度年初结转和结余4.24万元，本年收入1646.17万元；本年支出1641.14万元、年末结转和结余9.27万元。与2016年度决算相比，本年收入增加</w:t>
      </w:r>
      <w:r>
        <w:rPr>
          <w:rFonts w:hint="eastAsia" w:ascii="仿宋_GB2312" w:eastAsia="仿宋_GB2312" w:cs="DengXian-Regular"/>
          <w:sz w:val="32"/>
          <w:szCs w:val="32"/>
          <w:lang w:val="en-US" w:eastAsia="zh-CN"/>
        </w:rPr>
        <w:t>542.05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49</w:t>
      </w:r>
      <w:r>
        <w:rPr>
          <w:rFonts w:hint="eastAsia" w:ascii="仿宋_GB2312" w:eastAsia="仿宋_GB2312" w:cs="DengXian-Regular"/>
          <w:sz w:val="32"/>
          <w:szCs w:val="32"/>
        </w:rPr>
        <w:t>%，主要是</w:t>
      </w:r>
      <w:r>
        <w:rPr>
          <w:rFonts w:hint="eastAsia" w:ascii="仿宋_GB2312" w:hAnsi="仿宋_GB2312" w:eastAsia="仿宋_GB2312" w:cs="仿宋_GB2312"/>
          <w:b w:val="0"/>
          <w:bCs w:val="0"/>
          <w:sz w:val="32"/>
          <w:szCs w:val="32"/>
        </w:rPr>
        <w:t>增加乐仁堂拆迁经费450万</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人员增加</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经费增长</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人员工资增长等等</w:t>
      </w:r>
      <w:r>
        <w:rPr>
          <w:rFonts w:hint="eastAsia" w:ascii="仿宋_GB2312" w:eastAsia="仿宋_GB2312" w:cs="DengXian-Regular"/>
          <w:sz w:val="32"/>
          <w:szCs w:val="32"/>
        </w:rPr>
        <w:t>；本年支出增加</w:t>
      </w:r>
      <w:r>
        <w:rPr>
          <w:rFonts w:hint="eastAsia" w:ascii="仿宋_GB2312" w:hAnsi="仿宋_GB2312" w:eastAsia="仿宋_GB2312" w:cs="仿宋_GB2312"/>
          <w:b w:val="0"/>
          <w:bCs w:val="0"/>
          <w:sz w:val="32"/>
          <w:szCs w:val="32"/>
        </w:rPr>
        <w:t>545.03</w:t>
      </w:r>
      <w:r>
        <w:rPr>
          <w:rFonts w:hint="eastAsia" w:ascii="仿宋_GB2312" w:eastAsia="仿宋_GB2312" w:cs="DengXian-Regular"/>
          <w:sz w:val="32"/>
          <w:szCs w:val="32"/>
        </w:rPr>
        <w:t>万元，增长</w:t>
      </w:r>
      <w:r>
        <w:rPr>
          <w:rFonts w:hint="eastAsia" w:ascii="仿宋_GB2312" w:hAnsi="仿宋_GB2312" w:eastAsia="仿宋_GB2312" w:cs="仿宋_GB2312"/>
          <w:b w:val="0"/>
          <w:bCs w:val="0"/>
          <w:sz w:val="32"/>
          <w:szCs w:val="32"/>
        </w:rPr>
        <w:t>49.72%</w:t>
      </w:r>
      <w:r>
        <w:rPr>
          <w:rFonts w:hint="eastAsia" w:ascii="仿宋_GB2312" w:eastAsia="仿宋_GB2312" w:cs="DengXian-Regular"/>
          <w:sz w:val="32"/>
          <w:szCs w:val="32"/>
        </w:rPr>
        <w:t>，主要是</w:t>
      </w:r>
      <w:r>
        <w:rPr>
          <w:rFonts w:hint="eastAsia" w:ascii="仿宋_GB2312" w:hAnsi="仿宋_GB2312" w:eastAsia="仿宋_GB2312" w:cs="仿宋_GB2312"/>
          <w:b w:val="0"/>
          <w:bCs w:val="0"/>
          <w:sz w:val="32"/>
          <w:szCs w:val="32"/>
        </w:rPr>
        <w:t>惠民资金、拆迁安置补偿款</w:t>
      </w:r>
      <w:r>
        <w:rPr>
          <w:rFonts w:hint="eastAsia" w:ascii="仿宋_GB2312" w:eastAsia="仿宋_GB2312" w:cs="DengXian-Regular"/>
          <w:sz w:val="32"/>
          <w:szCs w:val="32"/>
        </w:rPr>
        <w:t>。</w:t>
      </w:r>
    </w:p>
    <w:p>
      <w:pPr>
        <w:pStyle w:val="3"/>
        <w:spacing w:before="0" w:after="0" w:line="56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本部门2017年度本年收入合计1646.17万元，其中：财政拨款收入1646.17万元，占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line="560" w:lineRule="exact"/>
        <w:ind w:firstLine="1920" w:firstLineChars="600"/>
        <w:rPr>
          <w:rFonts w:hint="eastAsia" w:ascii="仿宋_GB2312" w:eastAsia="仿宋_GB2312" w:cs="DengXian-Regular"/>
          <w:sz w:val="32"/>
          <w:szCs w:val="32"/>
          <w:lang w:eastAsia="zh-CN"/>
        </w:rPr>
      </w:pPr>
      <w:r>
        <w:rPr>
          <w:rFonts w:hint="eastAsia" w:ascii="仿宋_GB2312" w:eastAsia="仿宋_GB2312" w:cs="DengXian-Regular"/>
          <w:color w:val="auto"/>
          <w:sz w:val="32"/>
          <w:szCs w:val="32"/>
        </w:rPr>
        <w:t>图1：收入决算结构饼状图</w:t>
      </w:r>
    </w:p>
    <w:p>
      <w:pPr>
        <w:adjustRightInd w:val="0"/>
        <w:snapToGrid w:val="0"/>
        <w:spacing w:line="560" w:lineRule="exact"/>
        <w:ind w:firstLine="420" w:firstLineChars="200"/>
        <w:rPr>
          <w:rFonts w:ascii="仿宋_GB2312" w:eastAsia="仿宋_GB2312" w:cs="DengXian-Regular"/>
          <w:sz w:val="32"/>
          <w:szCs w:val="32"/>
        </w:rPr>
      </w:pPr>
      <w:r>
        <w:drawing>
          <wp:anchor distT="0" distB="0" distL="0" distR="0" simplePos="0" relativeHeight="251658240" behindDoc="0" locked="0" layoutInCell="1" allowOverlap="1">
            <wp:simplePos x="0" y="0"/>
            <wp:positionH relativeFrom="column">
              <wp:posOffset>1372870</wp:posOffset>
            </wp:positionH>
            <wp:positionV relativeFrom="paragraph">
              <wp:posOffset>21590</wp:posOffset>
            </wp:positionV>
            <wp:extent cx="2082165" cy="1207135"/>
            <wp:effectExtent l="0" t="0" r="13335" b="12065"/>
            <wp:wrapTopAndBottom/>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4" cstate="print"/>
                    <a:stretch>
                      <a:fillRect/>
                    </a:stretch>
                  </pic:blipFill>
                  <pic:spPr>
                    <a:xfrm>
                      <a:off x="0" y="0"/>
                      <a:ext cx="2082165" cy="1207135"/>
                    </a:xfrm>
                    <a:prstGeom prst="rect">
                      <a:avLst/>
                    </a:prstGeom>
                  </pic:spPr>
                </pic:pic>
              </a:graphicData>
            </a:graphic>
          </wp:anchor>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本部门2017年度本年支出合计1641.14万元，其中：基本支出1069.18万元，占</w:t>
      </w:r>
      <w:r>
        <w:rPr>
          <w:rFonts w:hint="eastAsia" w:ascii="仿宋_GB2312" w:eastAsia="仿宋_GB2312" w:cs="DengXian-Regular"/>
          <w:sz w:val="32"/>
          <w:szCs w:val="32"/>
          <w:lang w:val="en-US" w:eastAsia="zh-CN"/>
        </w:rPr>
        <w:t>65.15</w:t>
      </w:r>
      <w:r>
        <w:rPr>
          <w:rFonts w:hint="eastAsia" w:ascii="仿宋_GB2312" w:eastAsia="仿宋_GB2312" w:cs="DengXian-Regular"/>
          <w:sz w:val="32"/>
          <w:szCs w:val="32"/>
        </w:rPr>
        <w:t>%；项目支出571.96万元，占</w:t>
      </w:r>
      <w:r>
        <w:rPr>
          <w:rFonts w:hint="eastAsia" w:ascii="仿宋_GB2312" w:eastAsia="仿宋_GB2312" w:cs="DengXian-Regular"/>
          <w:sz w:val="32"/>
          <w:szCs w:val="32"/>
          <w:lang w:val="en-US" w:eastAsia="zh-CN"/>
        </w:rPr>
        <w:t>34.85</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line="560" w:lineRule="exact"/>
        <w:ind w:firstLine="1920" w:firstLineChars="600"/>
        <w:rPr>
          <w:rFonts w:ascii="仿宋_GB2312" w:eastAsia="仿宋_GB2312" w:cs="DengXian-Regular"/>
          <w:color w:val="auto"/>
          <w:sz w:val="32"/>
          <w:szCs w:val="32"/>
        </w:rPr>
      </w:pPr>
      <w:r>
        <w:rPr>
          <w:rFonts w:hint="eastAsia" w:ascii="仿宋_GB2312" w:eastAsia="仿宋_GB2312" w:cs="DengXian-Regular"/>
          <w:color w:val="auto"/>
          <w:sz w:val="32"/>
          <w:szCs w:val="32"/>
        </w:rPr>
        <w:t>图2：支出决算结构饼状图</w:t>
      </w:r>
    </w:p>
    <w:p>
      <w:pPr>
        <w:adjustRightInd w:val="0"/>
        <w:snapToGrid w:val="0"/>
        <w:spacing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59264" behindDoc="1" locked="0" layoutInCell="1" allowOverlap="1">
            <wp:simplePos x="0" y="0"/>
            <wp:positionH relativeFrom="column">
              <wp:posOffset>473075</wp:posOffset>
            </wp:positionH>
            <wp:positionV relativeFrom="paragraph">
              <wp:posOffset>7620</wp:posOffset>
            </wp:positionV>
            <wp:extent cx="4225925" cy="1648460"/>
            <wp:effectExtent l="4445" t="4445" r="17780" b="23495"/>
            <wp:wrapTight wrapText="bothSides">
              <wp:wrapPolygon>
                <wp:start x="-23" y="-58"/>
                <wp:lineTo x="-23" y="21409"/>
                <wp:lineTo x="21496" y="21409"/>
                <wp:lineTo x="21496" y="-58"/>
                <wp:lineTo x="-23" y="-58"/>
              </wp:wrapPolygon>
            </wp:wrapTight>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p>
    <w:p>
      <w:pPr>
        <w:adjustRightInd w:val="0"/>
        <w:snapToGrid w:val="0"/>
        <w:spacing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4.24万元、本年收入1646.17万元；本年支出1641.14万元、年末结转和结余9.27万元。与2016年度决算相比，一般公共预算财政拨款本年收入增加</w:t>
      </w:r>
      <w:r>
        <w:rPr>
          <w:rFonts w:hint="eastAsia" w:ascii="仿宋_GB2312" w:eastAsia="仿宋_GB2312" w:cs="DengXian-Regular"/>
          <w:sz w:val="32"/>
          <w:szCs w:val="32"/>
          <w:lang w:val="en-US" w:eastAsia="zh-CN"/>
        </w:rPr>
        <w:t>542.05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49</w:t>
      </w:r>
      <w:r>
        <w:rPr>
          <w:rFonts w:hint="eastAsia" w:ascii="仿宋_GB2312" w:eastAsia="仿宋_GB2312" w:cs="DengXian-Regular"/>
          <w:sz w:val="32"/>
          <w:szCs w:val="32"/>
        </w:rPr>
        <w:t>%，主要是</w:t>
      </w:r>
      <w:r>
        <w:rPr>
          <w:rFonts w:hint="eastAsia" w:ascii="仿宋_GB2312" w:hAnsi="仿宋_GB2312" w:eastAsia="仿宋_GB2312" w:cs="仿宋_GB2312"/>
          <w:b w:val="0"/>
          <w:bCs w:val="0"/>
          <w:sz w:val="32"/>
          <w:szCs w:val="32"/>
        </w:rPr>
        <w:t>增加乐仁堂拆迁经费450万</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人员增加</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经费增长</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人员工资增长等等</w:t>
      </w:r>
      <w:r>
        <w:rPr>
          <w:rFonts w:hint="eastAsia" w:ascii="仿宋_GB2312" w:eastAsia="仿宋_GB2312" w:cs="DengXian-Regular"/>
          <w:sz w:val="32"/>
          <w:szCs w:val="32"/>
        </w:rPr>
        <w:t>；本年支出增加</w:t>
      </w:r>
      <w:r>
        <w:rPr>
          <w:rFonts w:hint="eastAsia" w:ascii="仿宋_GB2312" w:hAnsi="仿宋_GB2312" w:eastAsia="仿宋_GB2312" w:cs="仿宋_GB2312"/>
          <w:b w:val="0"/>
          <w:bCs w:val="0"/>
          <w:sz w:val="32"/>
          <w:szCs w:val="32"/>
        </w:rPr>
        <w:t>545.03</w:t>
      </w:r>
      <w:r>
        <w:rPr>
          <w:rFonts w:hint="eastAsia" w:ascii="仿宋_GB2312" w:eastAsia="仿宋_GB2312" w:cs="DengXian-Regular"/>
          <w:sz w:val="32"/>
          <w:szCs w:val="32"/>
        </w:rPr>
        <w:t>万元，增长</w:t>
      </w:r>
      <w:r>
        <w:rPr>
          <w:rFonts w:hint="eastAsia" w:ascii="仿宋_GB2312" w:hAnsi="仿宋_GB2312" w:eastAsia="仿宋_GB2312" w:cs="仿宋_GB2312"/>
          <w:b w:val="0"/>
          <w:bCs w:val="0"/>
          <w:sz w:val="32"/>
          <w:szCs w:val="32"/>
        </w:rPr>
        <w:t>49.72%</w:t>
      </w:r>
      <w:r>
        <w:rPr>
          <w:rFonts w:hint="eastAsia" w:ascii="仿宋_GB2312" w:eastAsia="仿宋_GB2312" w:cs="DengXian-Regular"/>
          <w:sz w:val="32"/>
          <w:szCs w:val="32"/>
        </w:rPr>
        <w:t>，主要是</w:t>
      </w:r>
      <w:r>
        <w:rPr>
          <w:rFonts w:hint="eastAsia" w:ascii="仿宋_GB2312" w:hAnsi="仿宋_GB2312" w:eastAsia="仿宋_GB2312" w:cs="仿宋_GB2312"/>
          <w:b w:val="0"/>
          <w:bCs w:val="0"/>
          <w:sz w:val="32"/>
          <w:szCs w:val="32"/>
        </w:rPr>
        <w:t>惠民资金、拆迁安置补偿款</w:t>
      </w:r>
      <w:r>
        <w:rPr>
          <w:rFonts w:hint="eastAsia" w:ascii="仿宋_GB2312" w:eastAsia="仿宋_GB2312" w:cs="DengXian-Regular"/>
          <w:sz w:val="32"/>
          <w:szCs w:val="32"/>
        </w:rPr>
        <w:t>。</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color w:val="000000" w:themeColor="text1"/>
          <w:sz w:val="32"/>
          <w:szCs w:val="32"/>
          <w14:textFill>
            <w14:solidFill>
              <w14:schemeClr w14:val="tx1"/>
            </w14:solidFill>
          </w14:textFill>
        </w:rPr>
      </w:pPr>
      <w:r>
        <w:rPr>
          <w:rFonts w:hint="eastAsia" w:ascii="仿宋_GB2312" w:eastAsia="仿宋_GB2312" w:cs="DengXian-Regular"/>
          <w:color w:val="000000" w:themeColor="text1"/>
          <w:sz w:val="32"/>
          <w:szCs w:val="32"/>
          <w14:textFill>
            <w14:solidFill>
              <w14:schemeClr w14:val="tx1"/>
            </w14:solidFill>
          </w14:textFill>
        </w:rPr>
        <w:t>本部门2017年度一般公共预算财政拨款本年收入较2017年初预算增加</w:t>
      </w:r>
      <w:r>
        <w:rPr>
          <w:rFonts w:hint="eastAsia" w:ascii="仿宋_GB2312" w:eastAsia="仿宋_GB2312" w:cs="DengXian-Regular"/>
          <w:color w:val="000000" w:themeColor="text1"/>
          <w:sz w:val="32"/>
          <w:szCs w:val="32"/>
          <w:lang w:val="en-US" w:eastAsia="zh-CN"/>
          <w14:textFill>
            <w14:solidFill>
              <w14:schemeClr w14:val="tx1"/>
            </w14:solidFill>
          </w14:textFill>
        </w:rPr>
        <w:t>639.89</w:t>
      </w:r>
      <w:r>
        <w:rPr>
          <w:rFonts w:hint="eastAsia" w:ascii="仿宋_GB2312" w:eastAsia="仿宋_GB2312" w:cs="DengXian-Regular"/>
          <w:color w:val="000000" w:themeColor="text1"/>
          <w:sz w:val="32"/>
          <w:szCs w:val="32"/>
          <w14:textFill>
            <w14:solidFill>
              <w14:schemeClr w14:val="tx1"/>
            </w14:solidFill>
          </w14:textFill>
        </w:rPr>
        <w:t>万元，增长</w:t>
      </w:r>
      <w:r>
        <w:rPr>
          <w:rFonts w:hint="eastAsia" w:ascii="仿宋_GB2312" w:eastAsia="仿宋_GB2312" w:cs="DengXian-Regular"/>
          <w:color w:val="000000" w:themeColor="text1"/>
          <w:sz w:val="32"/>
          <w:szCs w:val="32"/>
          <w:lang w:val="en-US" w:eastAsia="zh-CN"/>
          <w14:textFill>
            <w14:solidFill>
              <w14:schemeClr w14:val="tx1"/>
            </w14:solidFill>
          </w14:textFill>
        </w:rPr>
        <w:t>63.58</w:t>
      </w:r>
      <w:r>
        <w:rPr>
          <w:rFonts w:hint="eastAsia" w:ascii="仿宋_GB2312" w:eastAsia="仿宋_GB2312" w:cs="DengXian-Regular"/>
          <w:color w:val="000000" w:themeColor="text1"/>
          <w:sz w:val="32"/>
          <w:szCs w:val="32"/>
          <w14:textFill>
            <w14:solidFill>
              <w14:schemeClr w14:val="tx1"/>
            </w14:solidFill>
          </w14:textFill>
        </w:rPr>
        <w:t>%，主要是一</w:t>
      </w:r>
      <w:r>
        <w:rPr>
          <w:rFonts w:hint="eastAsia" w:ascii="仿宋_GB2312" w:eastAsia="仿宋_GB2312" w:cs="DengXian-Regular"/>
          <w:color w:val="000000" w:themeColor="text1"/>
          <w:sz w:val="32"/>
          <w:szCs w:val="32"/>
          <w:lang w:eastAsia="zh-CN"/>
          <w14:textFill>
            <w14:solidFill>
              <w14:schemeClr w14:val="tx1"/>
            </w14:solidFill>
          </w14:textFill>
        </w:rPr>
        <w:t>是</w:t>
      </w:r>
      <w:r>
        <w:rPr>
          <w:rFonts w:hint="eastAsia" w:ascii="仿宋_GB2312" w:eastAsia="仿宋_GB2312" w:cs="DengXian-Regular"/>
          <w:color w:val="000000" w:themeColor="text1"/>
          <w:sz w:val="32"/>
          <w:szCs w:val="32"/>
          <w14:textFill>
            <w14:solidFill>
              <w14:schemeClr w14:val="tx1"/>
            </w14:solidFill>
          </w14:textFill>
        </w:rPr>
        <w:t>人员工资增加</w:t>
      </w:r>
      <w:r>
        <w:rPr>
          <w:rFonts w:hint="eastAsia" w:ascii="仿宋_GB2312" w:eastAsia="仿宋_GB2312" w:cs="DengXian-Regular"/>
          <w:color w:val="000000" w:themeColor="text1"/>
          <w:sz w:val="32"/>
          <w:szCs w:val="32"/>
          <w:lang w:eastAsia="zh-CN"/>
          <w14:textFill>
            <w14:solidFill>
              <w14:schemeClr w14:val="tx1"/>
            </w14:solidFill>
          </w14:textFill>
        </w:rPr>
        <w:t>；</w:t>
      </w:r>
      <w:r>
        <w:rPr>
          <w:rFonts w:hint="eastAsia" w:ascii="仿宋_GB2312" w:eastAsia="仿宋_GB2312" w:cs="DengXian-Regular"/>
          <w:color w:val="000000" w:themeColor="text1"/>
          <w:sz w:val="32"/>
          <w:szCs w:val="32"/>
          <w14:textFill>
            <w14:solidFill>
              <w14:schemeClr w14:val="tx1"/>
            </w14:solidFill>
          </w14:textFill>
        </w:rPr>
        <w:t>二</w:t>
      </w:r>
      <w:r>
        <w:rPr>
          <w:rFonts w:hint="eastAsia" w:ascii="仿宋_GB2312" w:eastAsia="仿宋_GB2312" w:cs="DengXian-Regular"/>
          <w:color w:val="000000" w:themeColor="text1"/>
          <w:sz w:val="32"/>
          <w:szCs w:val="32"/>
          <w:lang w:eastAsia="zh-CN"/>
          <w14:textFill>
            <w14:solidFill>
              <w14:schemeClr w14:val="tx1"/>
            </w14:solidFill>
          </w14:textFill>
        </w:rPr>
        <w:t>是</w:t>
      </w:r>
      <w:r>
        <w:rPr>
          <w:rFonts w:hint="eastAsia" w:ascii="仿宋_GB2312" w:eastAsia="仿宋_GB2312" w:cs="DengXian-Regular"/>
          <w:color w:val="000000" w:themeColor="text1"/>
          <w:sz w:val="32"/>
          <w:szCs w:val="32"/>
          <w14:textFill>
            <w14:solidFill>
              <w14:schemeClr w14:val="tx1"/>
            </w14:solidFill>
          </w14:textFill>
        </w:rPr>
        <w:t>项目</w:t>
      </w:r>
      <w:r>
        <w:rPr>
          <w:rFonts w:hint="eastAsia" w:ascii="仿宋_GB2312" w:eastAsia="仿宋_GB2312" w:cs="DengXian-Regular"/>
          <w:color w:val="000000" w:themeColor="text1"/>
          <w:sz w:val="32"/>
          <w:szCs w:val="32"/>
          <w:lang w:eastAsia="zh-CN"/>
          <w14:textFill>
            <w14:solidFill>
              <w14:schemeClr w14:val="tx1"/>
            </w14:solidFill>
          </w14:textFill>
        </w:rPr>
        <w:t>支出</w:t>
      </w:r>
      <w:r>
        <w:rPr>
          <w:rFonts w:hint="eastAsia" w:ascii="仿宋_GB2312" w:eastAsia="仿宋_GB2312" w:cs="DengXian-Regular"/>
          <w:color w:val="000000" w:themeColor="text1"/>
          <w:sz w:val="32"/>
          <w:szCs w:val="32"/>
          <w14:textFill>
            <w14:solidFill>
              <w14:schemeClr w14:val="tx1"/>
            </w14:solidFill>
          </w14:textFill>
        </w:rPr>
        <w:t>增加（乐仁堂拆迁</w:t>
      </w:r>
      <w:r>
        <w:rPr>
          <w:rFonts w:hint="eastAsia" w:ascii="仿宋_GB2312" w:eastAsia="仿宋_GB2312" w:cs="DengXian-Regular"/>
          <w:color w:val="000000" w:themeColor="text1"/>
          <w:sz w:val="32"/>
          <w:szCs w:val="32"/>
          <w:lang w:eastAsia="zh-CN"/>
          <w14:textFill>
            <w14:solidFill>
              <w14:schemeClr w14:val="tx1"/>
            </w14:solidFill>
          </w14:textFill>
        </w:rPr>
        <w:t>经费</w:t>
      </w:r>
      <w:r>
        <w:rPr>
          <w:rFonts w:hint="eastAsia" w:ascii="仿宋_GB2312" w:eastAsia="仿宋_GB2312" w:cs="DengXian-Regular"/>
          <w:color w:val="000000" w:themeColor="text1"/>
          <w:sz w:val="32"/>
          <w:szCs w:val="32"/>
          <w14:textFill>
            <w14:solidFill>
              <w14:schemeClr w14:val="tx1"/>
            </w14:solidFill>
          </w14:textFill>
        </w:rPr>
        <w:t>）；本年支出增加</w:t>
      </w:r>
      <w:r>
        <w:rPr>
          <w:rFonts w:hint="eastAsia" w:ascii="仿宋_GB2312" w:eastAsia="仿宋_GB2312" w:cs="DengXian-Regular"/>
          <w:color w:val="000000" w:themeColor="text1"/>
          <w:sz w:val="32"/>
          <w:szCs w:val="32"/>
          <w:lang w:val="en-US" w:eastAsia="zh-CN"/>
          <w14:textFill>
            <w14:solidFill>
              <w14:schemeClr w14:val="tx1"/>
            </w14:solidFill>
          </w14:textFill>
        </w:rPr>
        <w:t>634.86</w:t>
      </w:r>
      <w:r>
        <w:rPr>
          <w:rFonts w:hint="eastAsia" w:ascii="仿宋_GB2312" w:eastAsia="仿宋_GB2312" w:cs="DengXian-Regular"/>
          <w:color w:val="000000" w:themeColor="text1"/>
          <w:sz w:val="32"/>
          <w:szCs w:val="32"/>
          <w14:textFill>
            <w14:solidFill>
              <w14:schemeClr w14:val="tx1"/>
            </w14:solidFill>
          </w14:textFill>
        </w:rPr>
        <w:t>万元，增长</w:t>
      </w:r>
      <w:r>
        <w:rPr>
          <w:rFonts w:hint="eastAsia" w:ascii="仿宋_GB2312" w:eastAsia="仿宋_GB2312" w:cs="DengXian-Regular"/>
          <w:color w:val="000000" w:themeColor="text1"/>
          <w:sz w:val="32"/>
          <w:szCs w:val="32"/>
          <w:lang w:val="en-US" w:eastAsia="zh-CN"/>
          <w14:textFill>
            <w14:solidFill>
              <w14:schemeClr w14:val="tx1"/>
            </w14:solidFill>
          </w14:textFill>
        </w:rPr>
        <w:t>63.08</w:t>
      </w:r>
      <w:r>
        <w:rPr>
          <w:rFonts w:hint="eastAsia" w:ascii="仿宋_GB2312" w:eastAsia="仿宋_GB2312" w:cs="DengXian-Regular"/>
          <w:color w:val="000000" w:themeColor="text1"/>
          <w:sz w:val="32"/>
          <w:szCs w:val="32"/>
          <w14:textFill>
            <w14:solidFill>
              <w14:schemeClr w14:val="tx1"/>
            </w14:solidFill>
          </w14:textFill>
        </w:rPr>
        <w:t>%，主要是一</w:t>
      </w:r>
      <w:r>
        <w:rPr>
          <w:rFonts w:hint="eastAsia" w:ascii="仿宋_GB2312" w:eastAsia="仿宋_GB2312" w:cs="DengXian-Regular"/>
          <w:color w:val="000000" w:themeColor="text1"/>
          <w:sz w:val="32"/>
          <w:szCs w:val="32"/>
          <w:lang w:eastAsia="zh-CN"/>
          <w14:textFill>
            <w14:solidFill>
              <w14:schemeClr w14:val="tx1"/>
            </w14:solidFill>
          </w14:textFill>
        </w:rPr>
        <w:t>是</w:t>
      </w:r>
      <w:r>
        <w:rPr>
          <w:rFonts w:hint="eastAsia" w:ascii="仿宋_GB2312" w:eastAsia="仿宋_GB2312" w:cs="DengXian-Regular"/>
          <w:color w:val="000000" w:themeColor="text1"/>
          <w:sz w:val="32"/>
          <w:szCs w:val="32"/>
          <w14:textFill>
            <w14:solidFill>
              <w14:schemeClr w14:val="tx1"/>
            </w14:solidFill>
          </w14:textFill>
        </w:rPr>
        <w:t>人员工资增加</w:t>
      </w:r>
      <w:r>
        <w:rPr>
          <w:rFonts w:hint="eastAsia" w:ascii="仿宋_GB2312" w:eastAsia="仿宋_GB2312" w:cs="DengXian-Regular"/>
          <w:color w:val="000000" w:themeColor="text1"/>
          <w:sz w:val="32"/>
          <w:szCs w:val="32"/>
          <w:lang w:eastAsia="zh-CN"/>
          <w14:textFill>
            <w14:solidFill>
              <w14:schemeClr w14:val="tx1"/>
            </w14:solidFill>
          </w14:textFill>
        </w:rPr>
        <w:t>；</w:t>
      </w:r>
      <w:r>
        <w:rPr>
          <w:rFonts w:hint="eastAsia" w:ascii="仿宋_GB2312" w:eastAsia="仿宋_GB2312" w:cs="DengXian-Regular"/>
          <w:color w:val="000000" w:themeColor="text1"/>
          <w:sz w:val="32"/>
          <w:szCs w:val="32"/>
          <w14:textFill>
            <w14:solidFill>
              <w14:schemeClr w14:val="tx1"/>
            </w14:solidFill>
          </w14:textFill>
        </w:rPr>
        <w:t>二</w:t>
      </w:r>
      <w:r>
        <w:rPr>
          <w:rFonts w:hint="eastAsia" w:ascii="仿宋_GB2312" w:eastAsia="仿宋_GB2312" w:cs="DengXian-Regular"/>
          <w:color w:val="000000" w:themeColor="text1"/>
          <w:sz w:val="32"/>
          <w:szCs w:val="32"/>
          <w:lang w:eastAsia="zh-CN"/>
          <w14:textFill>
            <w14:solidFill>
              <w14:schemeClr w14:val="tx1"/>
            </w14:solidFill>
          </w14:textFill>
        </w:rPr>
        <w:t>是</w:t>
      </w:r>
      <w:r>
        <w:rPr>
          <w:rFonts w:hint="eastAsia" w:ascii="仿宋_GB2312" w:eastAsia="仿宋_GB2312" w:cs="DengXian-Regular"/>
          <w:color w:val="000000" w:themeColor="text1"/>
          <w:sz w:val="32"/>
          <w:szCs w:val="32"/>
          <w14:textFill>
            <w14:solidFill>
              <w14:schemeClr w14:val="tx1"/>
            </w14:solidFill>
          </w14:textFill>
        </w:rPr>
        <w:t>项目</w:t>
      </w:r>
      <w:r>
        <w:rPr>
          <w:rFonts w:hint="eastAsia" w:ascii="仿宋_GB2312" w:eastAsia="仿宋_GB2312" w:cs="DengXian-Regular"/>
          <w:color w:val="000000" w:themeColor="text1"/>
          <w:sz w:val="32"/>
          <w:szCs w:val="32"/>
          <w:lang w:eastAsia="zh-CN"/>
          <w14:textFill>
            <w14:solidFill>
              <w14:schemeClr w14:val="tx1"/>
            </w14:solidFill>
          </w14:textFill>
        </w:rPr>
        <w:t>支出</w:t>
      </w:r>
      <w:r>
        <w:rPr>
          <w:rFonts w:hint="eastAsia" w:ascii="仿宋_GB2312" w:eastAsia="仿宋_GB2312" w:cs="DengXian-Regular"/>
          <w:color w:val="000000" w:themeColor="text1"/>
          <w:sz w:val="32"/>
          <w:szCs w:val="32"/>
          <w14:textFill>
            <w14:solidFill>
              <w14:schemeClr w14:val="tx1"/>
            </w14:solidFill>
          </w14:textFill>
        </w:rPr>
        <w:t>增加（乐仁堂拆迁</w:t>
      </w:r>
      <w:r>
        <w:rPr>
          <w:rFonts w:hint="eastAsia" w:ascii="仿宋_GB2312" w:eastAsia="仿宋_GB2312" w:cs="DengXian-Regular"/>
          <w:color w:val="000000" w:themeColor="text1"/>
          <w:sz w:val="32"/>
          <w:szCs w:val="32"/>
          <w:lang w:eastAsia="zh-CN"/>
          <w14:textFill>
            <w14:solidFill>
              <w14:schemeClr w14:val="tx1"/>
            </w14:solidFill>
          </w14:textFill>
        </w:rPr>
        <w:t>经费</w:t>
      </w:r>
      <w:r>
        <w:rPr>
          <w:rFonts w:hint="eastAsia" w:ascii="仿宋_GB2312" w:eastAsia="仿宋_GB2312" w:cs="DengXian-Regular"/>
          <w:color w:val="000000" w:themeColor="text1"/>
          <w:sz w:val="32"/>
          <w:szCs w:val="32"/>
          <w14:textFill>
            <w14:solidFill>
              <w14:schemeClr w14:val="tx1"/>
            </w14:solidFill>
          </w14:textFill>
        </w:rPr>
        <w:t>）。</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color w:val="auto"/>
          <w:sz w:val="32"/>
          <w:szCs w:val="32"/>
        </w:rPr>
      </w:pPr>
      <w:r>
        <w:rPr>
          <w:rFonts w:hint="eastAsia" w:ascii="仿宋_GB2312" w:eastAsia="仿宋_GB2312" w:cs="DengXian-Regular"/>
          <w:color w:val="auto"/>
          <w:sz w:val="32"/>
          <w:szCs w:val="32"/>
        </w:rPr>
        <w:t>本部门2017年度“三公”经费支出共计1.47万元，较年初预算减少</w:t>
      </w:r>
      <w:r>
        <w:rPr>
          <w:rFonts w:hint="eastAsia" w:ascii="仿宋_GB2312" w:eastAsia="仿宋_GB2312" w:cs="DengXian-Regular"/>
          <w:color w:val="auto"/>
          <w:sz w:val="32"/>
          <w:szCs w:val="32"/>
          <w:lang w:val="en-US" w:eastAsia="zh-CN"/>
        </w:rPr>
        <w:t>1.03</w:t>
      </w:r>
      <w:r>
        <w:rPr>
          <w:rFonts w:hint="eastAsia" w:ascii="仿宋_GB2312" w:eastAsia="仿宋_GB2312" w:cs="DengXian-Regular"/>
          <w:color w:val="auto"/>
          <w:sz w:val="32"/>
          <w:szCs w:val="32"/>
        </w:rPr>
        <w:t>万元，降低</w:t>
      </w:r>
      <w:r>
        <w:rPr>
          <w:rFonts w:hint="eastAsia" w:ascii="仿宋_GB2312" w:eastAsia="仿宋_GB2312" w:cs="DengXian-Regular"/>
          <w:color w:val="auto"/>
          <w:sz w:val="32"/>
          <w:szCs w:val="32"/>
          <w:lang w:val="en-US" w:eastAsia="zh-CN"/>
        </w:rPr>
        <w:t>41.2</w:t>
      </w:r>
      <w:r>
        <w:rPr>
          <w:rFonts w:hint="eastAsia" w:ascii="仿宋_GB2312" w:eastAsia="仿宋_GB2312" w:cs="DengXian-Regular"/>
          <w:color w:val="auto"/>
          <w:sz w:val="32"/>
          <w:szCs w:val="32"/>
        </w:rPr>
        <w:t>%，主要是</w:t>
      </w:r>
      <w:r>
        <w:rPr>
          <w:rFonts w:hint="eastAsia" w:ascii="仿宋_GB2312" w:hAnsi="仿宋_GB2312" w:eastAsia="仿宋_GB2312" w:cs="仿宋_GB2312"/>
          <w:b w:val="0"/>
          <w:bCs w:val="0"/>
          <w:color w:val="auto"/>
          <w:sz w:val="32"/>
          <w:szCs w:val="32"/>
        </w:rPr>
        <w:t>车辆老化报废</w:t>
      </w:r>
      <w:r>
        <w:rPr>
          <w:rFonts w:hint="eastAsia" w:ascii="仿宋_GB2312" w:eastAsia="仿宋_GB2312" w:cs="DengXian-Regular"/>
          <w:color w:val="auto"/>
          <w:sz w:val="32"/>
          <w:szCs w:val="32"/>
        </w:rPr>
        <w:t>；较2016年度决算减少</w:t>
      </w:r>
      <w:r>
        <w:rPr>
          <w:rFonts w:hint="eastAsia" w:ascii="仿宋_GB2312" w:eastAsia="仿宋_GB2312" w:cs="DengXian-Regular"/>
          <w:color w:val="auto"/>
          <w:sz w:val="32"/>
          <w:szCs w:val="32"/>
          <w:lang w:val="en-US" w:eastAsia="zh-CN"/>
        </w:rPr>
        <w:t>1.39</w:t>
      </w:r>
      <w:r>
        <w:rPr>
          <w:rFonts w:hint="eastAsia" w:ascii="仿宋_GB2312" w:eastAsia="仿宋_GB2312" w:cs="DengXian-Regular"/>
          <w:color w:val="auto"/>
          <w:sz w:val="32"/>
          <w:szCs w:val="32"/>
        </w:rPr>
        <w:t>万元，降低</w:t>
      </w:r>
      <w:r>
        <w:rPr>
          <w:rFonts w:hint="eastAsia" w:ascii="仿宋_GB2312" w:eastAsia="仿宋_GB2312" w:cs="DengXian-Regular"/>
          <w:color w:val="auto"/>
          <w:sz w:val="32"/>
          <w:szCs w:val="32"/>
          <w:lang w:val="en-US" w:eastAsia="zh-CN"/>
        </w:rPr>
        <w:t>48.6</w:t>
      </w:r>
      <w:r>
        <w:rPr>
          <w:rFonts w:hint="eastAsia" w:ascii="仿宋_GB2312" w:eastAsia="仿宋_GB2312" w:cs="DengXian-Regular"/>
          <w:color w:val="auto"/>
          <w:sz w:val="32"/>
          <w:szCs w:val="32"/>
        </w:rPr>
        <w:t>%，主要是</w:t>
      </w:r>
      <w:r>
        <w:rPr>
          <w:rFonts w:hint="eastAsia" w:ascii="仿宋_GB2312" w:hAnsi="仿宋_GB2312" w:eastAsia="仿宋_GB2312" w:cs="仿宋_GB2312"/>
          <w:b w:val="0"/>
          <w:bCs w:val="0"/>
          <w:color w:val="auto"/>
          <w:sz w:val="32"/>
          <w:szCs w:val="32"/>
        </w:rPr>
        <w:t>车辆老化报废</w:t>
      </w:r>
      <w:r>
        <w:rPr>
          <w:rFonts w:hint="eastAsia" w:ascii="仿宋_GB2312" w:eastAsia="仿宋_GB2312" w:cs="DengXian-Regular"/>
          <w:color w:val="auto"/>
          <w:sz w:val="32"/>
          <w:szCs w:val="32"/>
        </w:rPr>
        <w:t>。</w:t>
      </w:r>
    </w:p>
    <w:p>
      <w:pPr>
        <w:adjustRightInd w:val="0"/>
        <w:snapToGrid w:val="0"/>
        <w:spacing w:after="0" w:line="560" w:lineRule="exact"/>
        <w:ind w:firstLine="643" w:firstLineChars="200"/>
        <w:rPr>
          <w:rFonts w:ascii="仿宋_GB2312" w:eastAsia="仿宋_GB2312" w:cs="DengXian-Regular"/>
          <w:sz w:val="32"/>
          <w:szCs w:val="32"/>
          <w:highlight w:val="none"/>
        </w:rPr>
      </w:pP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w:t>
      </w:r>
      <w:r>
        <w:rPr>
          <w:rFonts w:hint="eastAsia" w:ascii="仿宋_GB2312" w:eastAsia="仿宋_GB2312" w:cs="DengXian-Regular"/>
          <w:sz w:val="32"/>
          <w:szCs w:val="32"/>
          <w:highlight w:val="none"/>
        </w:rPr>
        <w:t>组织的出国（境）团组。因公出国（境）费支出较年初预算</w:t>
      </w:r>
      <w:r>
        <w:rPr>
          <w:rFonts w:hint="eastAsia" w:ascii="仿宋_GB2312" w:eastAsia="仿宋_GB2312" w:cs="DengXian-Regular"/>
          <w:color w:val="000000" w:themeColor="text1"/>
          <w:sz w:val="32"/>
          <w:szCs w:val="32"/>
          <w:highlight w:val="none"/>
          <w14:textFill>
            <w14:solidFill>
              <w14:schemeClr w14:val="tx1"/>
            </w14:solidFill>
          </w14:textFill>
        </w:rPr>
        <w:t>无增减变化</w:t>
      </w:r>
      <w:r>
        <w:rPr>
          <w:rFonts w:hint="eastAsia" w:ascii="仿宋_GB2312" w:eastAsia="仿宋_GB2312" w:cs="DengXian-Regular"/>
          <w:sz w:val="32"/>
          <w:szCs w:val="32"/>
          <w:highlight w:val="none"/>
        </w:rPr>
        <w:t>,主要是</w:t>
      </w:r>
      <w:r>
        <w:rPr>
          <w:rFonts w:hint="eastAsia" w:ascii="仿宋_GB2312" w:eastAsia="仿宋_GB2312" w:cs="DengXian-Regular"/>
          <w:color w:val="000000" w:themeColor="text1"/>
          <w:sz w:val="32"/>
          <w:szCs w:val="32"/>
          <w:highlight w:val="none"/>
          <w14:textFill>
            <w14:solidFill>
              <w14:schemeClr w14:val="tx1"/>
            </w14:solidFill>
          </w14:textFill>
        </w:rPr>
        <w:t>未发生“因公出国（境）”费支出</w:t>
      </w:r>
      <w:r>
        <w:rPr>
          <w:rFonts w:hint="eastAsia" w:ascii="仿宋_GB2312" w:eastAsia="仿宋_GB2312" w:cs="DengXian-Regular"/>
          <w:sz w:val="32"/>
          <w:szCs w:val="32"/>
          <w:highlight w:val="none"/>
        </w:rPr>
        <w:t>；较2016年度决算</w:t>
      </w:r>
      <w:r>
        <w:rPr>
          <w:rFonts w:hint="eastAsia" w:ascii="仿宋_GB2312" w:eastAsia="仿宋_GB2312" w:cs="DengXian-Regular"/>
          <w:color w:val="000000" w:themeColor="text1"/>
          <w:sz w:val="32"/>
          <w:szCs w:val="32"/>
          <w:highlight w:val="none"/>
          <w14:textFill>
            <w14:solidFill>
              <w14:schemeClr w14:val="tx1"/>
            </w14:solidFill>
          </w14:textFill>
        </w:rPr>
        <w:t>无增减变化</w:t>
      </w:r>
      <w:r>
        <w:rPr>
          <w:rFonts w:hint="eastAsia" w:ascii="仿宋_GB2312" w:eastAsia="仿宋_GB2312" w:cs="DengXian-Regular"/>
          <w:sz w:val="32"/>
          <w:szCs w:val="32"/>
          <w:highlight w:val="none"/>
        </w:rPr>
        <w:t>,主要是</w:t>
      </w:r>
      <w:r>
        <w:rPr>
          <w:rFonts w:hint="eastAsia" w:ascii="仿宋_GB2312" w:eastAsia="仿宋_GB2312" w:cs="DengXian-Regular"/>
          <w:color w:val="000000" w:themeColor="text1"/>
          <w:sz w:val="32"/>
          <w:szCs w:val="32"/>
          <w:highlight w:val="none"/>
          <w14:textFill>
            <w14:solidFill>
              <w14:schemeClr w14:val="tx1"/>
            </w14:solidFill>
          </w14:textFill>
        </w:rPr>
        <w:t>未发生“因公出国（境）”费支出</w:t>
      </w:r>
      <w:r>
        <w:rPr>
          <w:rFonts w:hint="eastAsia" w:ascii="仿宋_GB2312" w:eastAsia="仿宋_GB2312" w:cs="DengXian-Regular"/>
          <w:sz w:val="32"/>
          <w:szCs w:val="32"/>
          <w:highlight w:val="none"/>
        </w:rPr>
        <w:t>。</w:t>
      </w:r>
    </w:p>
    <w:p>
      <w:pPr>
        <w:adjustRightInd w:val="0"/>
        <w:snapToGrid w:val="0"/>
        <w:spacing w:after="0" w:line="560" w:lineRule="exact"/>
        <w:ind w:firstLine="643" w:firstLineChars="200"/>
        <w:rPr>
          <w:rFonts w:ascii="仿宋_GB2312" w:eastAsia="仿宋_GB2312" w:cs="DengXian-Bold"/>
          <w:b/>
          <w:bCs/>
          <w:color w:val="auto"/>
          <w:sz w:val="32"/>
          <w:szCs w:val="32"/>
        </w:rPr>
      </w:pPr>
      <w:r>
        <w:rPr>
          <w:rFonts w:hint="eastAsia" w:ascii="楷体_GB2312" w:eastAsia="楷体_GB2312" w:cs="DengXian-Bold"/>
          <w:b/>
          <w:bCs/>
          <w:color w:val="auto"/>
          <w:sz w:val="32"/>
          <w:szCs w:val="32"/>
        </w:rPr>
        <w:t>（二）公务用车购置及运行维护费支出</w:t>
      </w:r>
      <w:r>
        <w:rPr>
          <w:rFonts w:hint="eastAsia" w:ascii="楷体_GB2312" w:eastAsia="楷体_GB2312" w:cs="DengXian-Bold"/>
          <w:b/>
          <w:bCs/>
          <w:color w:val="auto"/>
          <w:sz w:val="32"/>
          <w:szCs w:val="32"/>
          <w:lang w:val="en-US" w:eastAsia="zh-CN"/>
        </w:rPr>
        <w:t>1.47</w:t>
      </w:r>
      <w:r>
        <w:rPr>
          <w:rFonts w:hint="eastAsia" w:ascii="楷体_GB2312" w:eastAsia="楷体_GB2312" w:cs="DengXian-Bold"/>
          <w:b/>
          <w:bCs/>
          <w:color w:val="auto"/>
          <w:sz w:val="32"/>
          <w:szCs w:val="32"/>
        </w:rPr>
        <w:t>万元。</w:t>
      </w:r>
      <w:r>
        <w:rPr>
          <w:rFonts w:hint="eastAsia" w:ascii="仿宋_GB2312" w:eastAsia="仿宋_GB2312" w:cs="DengXian-Regular"/>
          <w:color w:val="auto"/>
          <w:sz w:val="32"/>
          <w:szCs w:val="32"/>
        </w:rPr>
        <w:t>本部门2017年度公务用车购置及运行维护费较年初预算减少</w:t>
      </w:r>
      <w:r>
        <w:rPr>
          <w:rFonts w:hint="eastAsia" w:ascii="仿宋_GB2312" w:eastAsia="仿宋_GB2312" w:cs="DengXian-Regular"/>
          <w:color w:val="auto"/>
          <w:sz w:val="32"/>
          <w:szCs w:val="32"/>
          <w:lang w:val="en-US" w:eastAsia="zh-CN"/>
        </w:rPr>
        <w:t>1.03</w:t>
      </w:r>
      <w:r>
        <w:rPr>
          <w:rFonts w:hint="eastAsia" w:ascii="仿宋_GB2312" w:eastAsia="仿宋_GB2312" w:cs="DengXian-Regular"/>
          <w:color w:val="auto"/>
          <w:sz w:val="32"/>
          <w:szCs w:val="32"/>
        </w:rPr>
        <w:t>万元，降低</w:t>
      </w:r>
      <w:r>
        <w:rPr>
          <w:rFonts w:hint="eastAsia" w:ascii="仿宋_GB2312" w:eastAsia="仿宋_GB2312" w:cs="DengXian-Regular"/>
          <w:color w:val="auto"/>
          <w:sz w:val="32"/>
          <w:szCs w:val="32"/>
          <w:lang w:val="en-US" w:eastAsia="zh-CN"/>
        </w:rPr>
        <w:t>41.2</w:t>
      </w:r>
      <w:r>
        <w:rPr>
          <w:rFonts w:hint="eastAsia" w:ascii="仿宋_GB2312" w:eastAsia="仿宋_GB2312" w:cs="DengXian-Regular"/>
          <w:color w:val="auto"/>
          <w:sz w:val="32"/>
          <w:szCs w:val="32"/>
        </w:rPr>
        <w:t>%,主要是</w:t>
      </w:r>
      <w:r>
        <w:rPr>
          <w:rFonts w:hint="eastAsia" w:ascii="仿宋_GB2312" w:hAnsi="仿宋_GB2312" w:eastAsia="仿宋_GB2312" w:cs="仿宋_GB2312"/>
          <w:b w:val="0"/>
          <w:bCs w:val="0"/>
          <w:color w:val="auto"/>
          <w:sz w:val="32"/>
          <w:szCs w:val="32"/>
        </w:rPr>
        <w:t>车辆老化报废</w:t>
      </w:r>
      <w:r>
        <w:rPr>
          <w:rFonts w:hint="eastAsia" w:ascii="仿宋_GB2312" w:eastAsia="仿宋_GB2312" w:cs="DengXian-Regular"/>
          <w:color w:val="auto"/>
          <w:sz w:val="32"/>
          <w:szCs w:val="32"/>
        </w:rPr>
        <w:t>；较2016年度决算减少</w:t>
      </w:r>
      <w:r>
        <w:rPr>
          <w:rFonts w:hint="eastAsia" w:ascii="仿宋_GB2312" w:eastAsia="仿宋_GB2312" w:cs="DengXian-Regular"/>
          <w:color w:val="auto"/>
          <w:sz w:val="32"/>
          <w:szCs w:val="32"/>
          <w:lang w:val="en-US" w:eastAsia="zh-CN"/>
        </w:rPr>
        <w:t>1.39</w:t>
      </w:r>
      <w:r>
        <w:rPr>
          <w:rFonts w:hint="eastAsia" w:ascii="仿宋_GB2312" w:eastAsia="仿宋_GB2312" w:cs="DengXian-Regular"/>
          <w:color w:val="auto"/>
          <w:sz w:val="32"/>
          <w:szCs w:val="32"/>
        </w:rPr>
        <w:t>万元，降低</w:t>
      </w:r>
      <w:r>
        <w:rPr>
          <w:rFonts w:hint="eastAsia" w:ascii="仿宋_GB2312" w:eastAsia="仿宋_GB2312" w:cs="DengXian-Regular"/>
          <w:color w:val="auto"/>
          <w:sz w:val="32"/>
          <w:szCs w:val="32"/>
          <w:lang w:val="en-US" w:eastAsia="zh-CN"/>
        </w:rPr>
        <w:t>48.6</w:t>
      </w:r>
      <w:r>
        <w:rPr>
          <w:rFonts w:hint="eastAsia" w:ascii="仿宋_GB2312" w:eastAsia="仿宋_GB2312" w:cs="DengXian-Regular"/>
          <w:color w:val="auto"/>
          <w:sz w:val="32"/>
          <w:szCs w:val="32"/>
        </w:rPr>
        <w:t>%,主要是</w:t>
      </w:r>
      <w:r>
        <w:rPr>
          <w:rFonts w:hint="eastAsia" w:ascii="仿宋_GB2312" w:hAnsi="仿宋_GB2312" w:eastAsia="仿宋_GB2312" w:cs="仿宋_GB2312"/>
          <w:b w:val="0"/>
          <w:bCs w:val="0"/>
          <w:color w:val="auto"/>
          <w:sz w:val="32"/>
          <w:szCs w:val="32"/>
        </w:rPr>
        <w:t>车辆老化报废</w:t>
      </w:r>
      <w:r>
        <w:rPr>
          <w:rFonts w:hint="eastAsia" w:ascii="仿宋_GB2312" w:eastAsia="仿宋_GB2312" w:cs="DengXian-Regular"/>
          <w:color w:val="auto"/>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w:t>
      </w:r>
      <w:r>
        <w:rPr>
          <w:rFonts w:hint="eastAsia" w:ascii="仿宋_GB2312" w:eastAsia="仿宋_GB2312" w:cs="DengXian-Regular"/>
          <w:sz w:val="32"/>
          <w:szCs w:val="32"/>
          <w:highlight w:val="none"/>
        </w:rPr>
        <w:t>年初预算</w:t>
      </w:r>
      <w:r>
        <w:rPr>
          <w:rFonts w:hint="eastAsia" w:ascii="仿宋_GB2312" w:eastAsia="仿宋_GB2312" w:cs="DengXian-Regular"/>
          <w:color w:val="000000" w:themeColor="text1"/>
          <w:sz w:val="32"/>
          <w:szCs w:val="32"/>
          <w:highlight w:val="none"/>
          <w14:textFill>
            <w14:solidFill>
              <w14:schemeClr w14:val="tx1"/>
            </w14:solidFill>
          </w14:textFill>
        </w:rPr>
        <w:t>无增减变化</w:t>
      </w:r>
      <w:r>
        <w:rPr>
          <w:rFonts w:hint="eastAsia" w:ascii="仿宋_GB2312" w:eastAsia="仿宋_GB2312" w:cs="DengXian-Regular"/>
          <w:sz w:val="32"/>
          <w:szCs w:val="32"/>
          <w:highlight w:val="none"/>
        </w:rPr>
        <w:t>,主要是未发生“公务用车购置”经费支出；较2016年度决算</w:t>
      </w:r>
      <w:r>
        <w:rPr>
          <w:rFonts w:hint="eastAsia" w:ascii="仿宋_GB2312" w:eastAsia="仿宋_GB2312" w:cs="DengXian-Regular"/>
          <w:color w:val="000000" w:themeColor="text1"/>
          <w:sz w:val="32"/>
          <w:szCs w:val="32"/>
          <w:highlight w:val="none"/>
          <w14:textFill>
            <w14:solidFill>
              <w14:schemeClr w14:val="tx1"/>
            </w14:solidFill>
          </w14:textFill>
        </w:rPr>
        <w:t>无增减变化</w:t>
      </w:r>
      <w:r>
        <w:rPr>
          <w:rFonts w:hint="eastAsia" w:ascii="仿宋_GB2312" w:eastAsia="仿宋_GB2312" w:cs="DengXian-Regular"/>
          <w:sz w:val="32"/>
          <w:szCs w:val="32"/>
          <w:highlight w:val="none"/>
        </w:rPr>
        <w:t>,主要</w:t>
      </w:r>
      <w:r>
        <w:rPr>
          <w:rFonts w:hint="eastAsia" w:ascii="仿宋_GB2312" w:eastAsia="仿宋_GB2312" w:cs="DengXian-Regular"/>
          <w:sz w:val="32"/>
          <w:szCs w:val="32"/>
        </w:rPr>
        <w:t>是未发生“公务用车购置”经费支出。</w:t>
      </w:r>
    </w:p>
    <w:p>
      <w:pPr>
        <w:adjustRightInd w:val="0"/>
        <w:snapToGrid w:val="0"/>
        <w:spacing w:after="0" w:line="560" w:lineRule="exact"/>
        <w:ind w:firstLine="643" w:firstLineChars="200"/>
        <w:rPr>
          <w:rFonts w:ascii="仿宋_GB2312" w:eastAsia="仿宋_GB2312" w:cs="DengXian-Regular"/>
          <w:color w:val="FF0000"/>
          <w:sz w:val="32"/>
          <w:szCs w:val="32"/>
        </w:rPr>
      </w:pPr>
      <w:r>
        <w:rPr>
          <w:rFonts w:hint="eastAsia" w:ascii="仿宋_GB2312" w:eastAsia="仿宋_GB2312" w:cs="DengXian-Regular"/>
          <w:b/>
          <w:color w:val="auto"/>
          <w:sz w:val="32"/>
          <w:szCs w:val="32"/>
        </w:rPr>
        <w:t>公务用车运行维护费：</w:t>
      </w:r>
      <w:r>
        <w:rPr>
          <w:rFonts w:hint="eastAsia" w:ascii="仿宋_GB2312" w:eastAsia="仿宋_GB2312" w:cs="DengXian-Regular"/>
          <w:color w:val="auto"/>
          <w:sz w:val="32"/>
          <w:szCs w:val="32"/>
        </w:rPr>
        <w:t>本部门2017年度单位公务用车保有量</w:t>
      </w:r>
      <w:r>
        <w:rPr>
          <w:rFonts w:hint="eastAsia" w:ascii="仿宋_GB2312" w:eastAsia="仿宋_GB2312" w:cs="DengXian-Regular"/>
          <w:color w:val="auto"/>
          <w:sz w:val="32"/>
          <w:szCs w:val="32"/>
          <w:lang w:val="en-US" w:eastAsia="zh-CN"/>
        </w:rPr>
        <w:t>1</w:t>
      </w:r>
      <w:r>
        <w:rPr>
          <w:rFonts w:hint="eastAsia" w:ascii="仿宋_GB2312" w:eastAsia="仿宋_GB2312" w:cs="DengXian-Regular"/>
          <w:color w:val="auto"/>
          <w:sz w:val="32"/>
          <w:szCs w:val="32"/>
        </w:rPr>
        <w:t>辆。公车运行维护费支出较年初预算减少</w:t>
      </w:r>
      <w:r>
        <w:rPr>
          <w:rFonts w:hint="eastAsia" w:ascii="仿宋_GB2312" w:eastAsia="仿宋_GB2312" w:cs="DengXian-Regular"/>
          <w:color w:val="auto"/>
          <w:sz w:val="32"/>
          <w:szCs w:val="32"/>
          <w:lang w:val="en-US" w:eastAsia="zh-CN"/>
        </w:rPr>
        <w:t>1.03</w:t>
      </w:r>
      <w:r>
        <w:rPr>
          <w:rFonts w:hint="eastAsia" w:ascii="仿宋_GB2312" w:eastAsia="仿宋_GB2312" w:cs="DengXian-Regular"/>
          <w:color w:val="auto"/>
          <w:sz w:val="32"/>
          <w:szCs w:val="32"/>
        </w:rPr>
        <w:t>万元，降低</w:t>
      </w:r>
      <w:r>
        <w:rPr>
          <w:rFonts w:hint="eastAsia" w:ascii="仿宋_GB2312" w:eastAsia="仿宋_GB2312" w:cs="DengXian-Regular"/>
          <w:color w:val="auto"/>
          <w:sz w:val="32"/>
          <w:szCs w:val="32"/>
          <w:lang w:val="en-US" w:eastAsia="zh-CN"/>
        </w:rPr>
        <w:t>41.2</w:t>
      </w:r>
      <w:r>
        <w:rPr>
          <w:rFonts w:hint="eastAsia" w:ascii="仿宋_GB2312" w:eastAsia="仿宋_GB2312" w:cs="DengXian-Regular"/>
          <w:color w:val="auto"/>
          <w:sz w:val="32"/>
          <w:szCs w:val="32"/>
        </w:rPr>
        <w:t>%,主要是</w:t>
      </w:r>
      <w:r>
        <w:rPr>
          <w:rFonts w:hint="eastAsia" w:ascii="仿宋_GB2312" w:hAnsi="仿宋_GB2312" w:eastAsia="仿宋_GB2312" w:cs="仿宋_GB2312"/>
          <w:b w:val="0"/>
          <w:bCs w:val="0"/>
          <w:color w:val="auto"/>
          <w:sz w:val="32"/>
          <w:szCs w:val="32"/>
        </w:rPr>
        <w:t>车辆老化报废</w:t>
      </w:r>
      <w:r>
        <w:rPr>
          <w:rFonts w:hint="eastAsia" w:ascii="仿宋_GB2312" w:eastAsia="仿宋_GB2312" w:cs="DengXian-Regular"/>
          <w:color w:val="auto"/>
          <w:sz w:val="32"/>
          <w:szCs w:val="32"/>
        </w:rPr>
        <w:t>；较2016年度决算减少</w:t>
      </w:r>
      <w:r>
        <w:rPr>
          <w:rFonts w:hint="eastAsia" w:ascii="仿宋_GB2312" w:eastAsia="仿宋_GB2312" w:cs="DengXian-Regular"/>
          <w:color w:val="auto"/>
          <w:sz w:val="32"/>
          <w:szCs w:val="32"/>
          <w:lang w:val="en-US" w:eastAsia="zh-CN"/>
        </w:rPr>
        <w:t>1.39</w:t>
      </w:r>
      <w:r>
        <w:rPr>
          <w:rFonts w:hint="eastAsia" w:ascii="仿宋_GB2312" w:eastAsia="仿宋_GB2312" w:cs="DengXian-Regular"/>
          <w:color w:val="auto"/>
          <w:sz w:val="32"/>
          <w:szCs w:val="32"/>
        </w:rPr>
        <w:t>万元，降低</w:t>
      </w:r>
      <w:r>
        <w:rPr>
          <w:rFonts w:hint="eastAsia" w:ascii="仿宋_GB2312" w:eastAsia="仿宋_GB2312" w:cs="DengXian-Regular"/>
          <w:color w:val="auto"/>
          <w:sz w:val="32"/>
          <w:szCs w:val="32"/>
          <w:lang w:val="en-US" w:eastAsia="zh-CN"/>
        </w:rPr>
        <w:t>48.6</w:t>
      </w:r>
      <w:r>
        <w:rPr>
          <w:rFonts w:hint="eastAsia" w:ascii="仿宋_GB2312" w:eastAsia="仿宋_GB2312" w:cs="DengXian-Regular"/>
          <w:color w:val="auto"/>
          <w:sz w:val="32"/>
          <w:szCs w:val="32"/>
        </w:rPr>
        <w:t>%，主要是</w:t>
      </w:r>
      <w:r>
        <w:rPr>
          <w:rFonts w:hint="eastAsia" w:ascii="仿宋_GB2312" w:hAnsi="仿宋_GB2312" w:eastAsia="仿宋_GB2312" w:cs="仿宋_GB2312"/>
          <w:b w:val="0"/>
          <w:bCs w:val="0"/>
          <w:color w:val="auto"/>
          <w:sz w:val="32"/>
          <w:szCs w:val="32"/>
        </w:rPr>
        <w:t>车辆老化报废</w:t>
      </w:r>
      <w:r>
        <w:rPr>
          <w:rFonts w:hint="eastAsia" w:ascii="仿宋_GB2312" w:eastAsia="仿宋_GB2312" w:cs="DengXian-Regular"/>
          <w:color w:val="FF0000"/>
          <w:sz w:val="32"/>
          <w:szCs w:val="32"/>
        </w:rPr>
        <w:t>。</w:t>
      </w:r>
    </w:p>
    <w:p>
      <w:pPr>
        <w:adjustRightInd w:val="0"/>
        <w:snapToGrid w:val="0"/>
        <w:spacing w:after="0" w:line="560" w:lineRule="exact"/>
        <w:ind w:firstLine="643" w:firstLineChars="200"/>
        <w:rPr>
          <w:rFonts w:ascii="仿宋_GB2312" w:eastAsia="仿宋_GB2312" w:cs="DengXian-Regular"/>
          <w:sz w:val="32"/>
          <w:szCs w:val="32"/>
          <w:highlight w:val="none"/>
        </w:rPr>
      </w:pPr>
      <w:r>
        <w:rPr>
          <w:rFonts w:hint="eastAsia" w:ascii="楷体_GB2312" w:eastAsia="楷体_GB2312" w:cs="DengXian-Bold"/>
          <w:b/>
          <w:bCs/>
          <w:sz w:val="32"/>
          <w:szCs w:val="32"/>
          <w:highlight w:val="none"/>
        </w:rPr>
        <w:t>（三）公务接待费支出</w:t>
      </w:r>
      <w:r>
        <w:rPr>
          <w:rFonts w:hint="eastAsia" w:ascii="楷体_GB2312" w:eastAsia="楷体_GB2312" w:cs="DengXian-Bold"/>
          <w:b/>
          <w:bCs/>
          <w:sz w:val="32"/>
          <w:szCs w:val="32"/>
          <w:highlight w:val="none"/>
          <w:lang w:val="en-US" w:eastAsia="zh-CN"/>
        </w:rPr>
        <w:t>0</w:t>
      </w:r>
      <w:r>
        <w:rPr>
          <w:rFonts w:hint="eastAsia" w:ascii="楷体_GB2312" w:eastAsia="楷体_GB2312" w:cs="DengXian-Bold"/>
          <w:b/>
          <w:bCs/>
          <w:sz w:val="32"/>
          <w:szCs w:val="32"/>
          <w:highlight w:val="none"/>
        </w:rPr>
        <w:t>万元。</w:t>
      </w:r>
      <w:r>
        <w:rPr>
          <w:rFonts w:hint="eastAsia" w:ascii="仿宋_GB2312" w:eastAsia="仿宋_GB2312" w:cs="DengXian-Regular"/>
          <w:sz w:val="32"/>
          <w:szCs w:val="32"/>
          <w:highlight w:val="none"/>
        </w:rPr>
        <w:t>本部门2017年度公务接待共</w:t>
      </w:r>
      <w:r>
        <w:rPr>
          <w:rFonts w:hint="eastAsia" w:ascii="仿宋_GB2312" w:eastAsia="仿宋_GB2312" w:cs="DengXian-Regular"/>
          <w:sz w:val="32"/>
          <w:szCs w:val="32"/>
          <w:highlight w:val="none"/>
          <w:lang w:val="en-US" w:eastAsia="zh-CN"/>
        </w:rPr>
        <w:t>0</w:t>
      </w:r>
      <w:r>
        <w:rPr>
          <w:rFonts w:hint="eastAsia" w:ascii="仿宋_GB2312" w:eastAsia="仿宋_GB2312" w:cs="DengXian-Regular"/>
          <w:sz w:val="32"/>
          <w:szCs w:val="32"/>
          <w:highlight w:val="none"/>
        </w:rPr>
        <w:t>批次、</w:t>
      </w:r>
      <w:r>
        <w:rPr>
          <w:rFonts w:hint="eastAsia" w:ascii="仿宋_GB2312" w:eastAsia="仿宋_GB2312" w:cs="DengXian-Regular"/>
          <w:sz w:val="32"/>
          <w:szCs w:val="32"/>
          <w:highlight w:val="none"/>
          <w:lang w:val="en-US" w:eastAsia="zh-CN"/>
        </w:rPr>
        <w:t>0</w:t>
      </w:r>
      <w:r>
        <w:rPr>
          <w:rFonts w:hint="eastAsia" w:ascii="仿宋_GB2312" w:eastAsia="仿宋_GB2312" w:cs="DengXian-Regular"/>
          <w:sz w:val="32"/>
          <w:szCs w:val="32"/>
          <w:highlight w:val="none"/>
        </w:rPr>
        <w:t>人次。公务接待费支出较年初预算</w:t>
      </w:r>
      <w:r>
        <w:rPr>
          <w:rFonts w:hint="eastAsia" w:ascii="仿宋_GB2312" w:eastAsia="仿宋_GB2312" w:cs="DengXian-Regular"/>
          <w:color w:val="000000" w:themeColor="text1"/>
          <w:sz w:val="32"/>
          <w:szCs w:val="32"/>
          <w:highlight w:val="none"/>
          <w14:textFill>
            <w14:solidFill>
              <w14:schemeClr w14:val="tx1"/>
            </w14:solidFill>
          </w14:textFill>
        </w:rPr>
        <w:t>无增减变化</w:t>
      </w:r>
      <w:r>
        <w:rPr>
          <w:rFonts w:hint="eastAsia" w:ascii="仿宋_GB2312" w:eastAsia="仿宋_GB2312" w:cs="DengXian-Regular"/>
          <w:sz w:val="32"/>
          <w:szCs w:val="32"/>
          <w:highlight w:val="none"/>
        </w:rPr>
        <w:t>,主要是未发生“公务接待”经费支出；较2016年度决算</w:t>
      </w:r>
      <w:r>
        <w:rPr>
          <w:rFonts w:hint="eastAsia" w:ascii="仿宋_GB2312" w:eastAsia="仿宋_GB2312" w:cs="DengXian-Regular"/>
          <w:color w:val="000000" w:themeColor="text1"/>
          <w:sz w:val="32"/>
          <w:szCs w:val="32"/>
          <w:highlight w:val="none"/>
          <w14:textFill>
            <w14:solidFill>
              <w14:schemeClr w14:val="tx1"/>
            </w14:solidFill>
          </w14:textFill>
        </w:rPr>
        <w:t>无增减变化</w:t>
      </w:r>
      <w:r>
        <w:rPr>
          <w:rFonts w:hint="eastAsia" w:ascii="仿宋_GB2312" w:eastAsia="仿宋_GB2312" w:cs="DengXian-Regular"/>
          <w:sz w:val="32"/>
          <w:szCs w:val="32"/>
          <w:highlight w:val="none"/>
        </w:rPr>
        <w:t>，降低</w:t>
      </w:r>
      <w:r>
        <w:rPr>
          <w:rFonts w:hint="eastAsia" w:ascii="仿宋_GB2312" w:eastAsia="仿宋_GB2312" w:cs="DengXian-Regular"/>
          <w:sz w:val="32"/>
          <w:szCs w:val="32"/>
          <w:highlight w:val="none"/>
          <w:lang w:val="en-US" w:eastAsia="zh-CN"/>
        </w:rPr>
        <w:t>0</w:t>
      </w:r>
      <w:r>
        <w:rPr>
          <w:rFonts w:hint="eastAsia" w:ascii="仿宋_GB2312" w:eastAsia="仿宋_GB2312" w:cs="DengXian-Regular"/>
          <w:sz w:val="32"/>
          <w:szCs w:val="32"/>
          <w:highlight w:val="none"/>
        </w:rPr>
        <w:t>%,主要是未发生“公务接待”经费支出。</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outlineLvl w:val="9"/>
        <w:rPr>
          <w:rFonts w:hint="eastAsia" w:ascii="仿宋_GB2312" w:eastAsia="仿宋_GB2312" w:cs="DengXian-Regular"/>
          <w:color w:val="auto"/>
          <w:sz w:val="32"/>
          <w:szCs w:val="32"/>
          <w:highlight w:val="none"/>
          <w:lang w:eastAsia="zh-CN"/>
        </w:rPr>
      </w:pPr>
      <w:r>
        <w:rPr>
          <w:rFonts w:hint="eastAsia" w:ascii="仿宋_GB2312" w:eastAsia="仿宋_GB2312" w:cs="DengXian-Regular"/>
          <w:color w:val="auto"/>
          <w:sz w:val="32"/>
          <w:szCs w:val="32"/>
          <w:highlight w:val="none"/>
          <w:lang w:eastAsia="zh-CN"/>
        </w:rPr>
        <w:t>（一）绩效管理工作开展情况</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outlineLvl w:val="9"/>
        <w:rPr>
          <w:rFonts w:hint="eastAsia" w:ascii="仿宋_GB2312" w:eastAsia="仿宋_GB2312" w:cs="DengXian-Regular"/>
          <w:color w:val="auto"/>
          <w:sz w:val="32"/>
          <w:szCs w:val="32"/>
          <w:highlight w:val="none"/>
          <w:lang w:eastAsia="zh-CN"/>
        </w:rPr>
      </w:pPr>
      <w:r>
        <w:rPr>
          <w:rFonts w:hint="eastAsia" w:ascii="仿宋_GB2312" w:eastAsia="仿宋_GB2312" w:cs="DengXian-Regular"/>
          <w:color w:val="auto"/>
          <w:sz w:val="32"/>
          <w:szCs w:val="32"/>
          <w:highlight w:val="none"/>
          <w:lang w:eastAsia="zh-CN"/>
        </w:rPr>
        <w:t>按照深化绩效预算管理的要求，2017 年继续优化了“部门职责-工作活动-预算项目”的绩效预算管理结构，分三个层次分别制定了绩效目标和指标，力争可审核、可监控、可评价，将绩效管理融入项目管理全过程，为提高资金使用效果、规范预算管理打下了良好基础。</w:t>
      </w:r>
    </w:p>
    <w:p>
      <w:pPr>
        <w:keepNext w:val="0"/>
        <w:keepLines w:val="0"/>
        <w:pageBreakBefore w:val="0"/>
        <w:widowControl w:val="0"/>
        <w:numPr>
          <w:ilvl w:val="0"/>
          <w:numId w:val="1"/>
        </w:numPr>
        <w:kinsoku/>
        <w:wordWrap/>
        <w:overflowPunct/>
        <w:topLinePunct w:val="0"/>
        <w:autoSpaceDE/>
        <w:autoSpaceDN/>
        <w:bidi w:val="0"/>
        <w:adjustRightInd w:val="0"/>
        <w:snapToGrid w:val="0"/>
        <w:spacing w:after="0" w:line="560" w:lineRule="exact"/>
        <w:ind w:firstLine="640" w:firstLineChars="200"/>
        <w:textAlignment w:val="auto"/>
        <w:outlineLvl w:val="9"/>
        <w:rPr>
          <w:rFonts w:ascii="仿宋_GB2312" w:eastAsia="仿宋_GB2312" w:cs="DengXian-Regular"/>
          <w:color w:val="auto"/>
          <w:sz w:val="32"/>
          <w:szCs w:val="32"/>
          <w:highlight w:val="none"/>
        </w:rPr>
      </w:pPr>
      <w:r>
        <w:rPr>
          <w:rFonts w:hint="eastAsia" w:ascii="仿宋_GB2312" w:eastAsia="仿宋_GB2312" w:cs="DengXian-Regular"/>
          <w:color w:val="auto"/>
          <w:sz w:val="32"/>
          <w:szCs w:val="32"/>
          <w:highlight w:val="none"/>
        </w:rPr>
        <w:t>预算项目绩效评价开展情况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outlineLvl w:val="9"/>
        <w:rPr>
          <w:rFonts w:hint="eastAsia" w:ascii="仿宋_GB2312" w:eastAsia="仿宋_GB2312" w:cs="DengXian-Regular"/>
          <w:color w:val="auto"/>
          <w:sz w:val="32"/>
          <w:szCs w:val="32"/>
          <w:highlight w:val="none"/>
          <w:lang w:eastAsia="zh-CN"/>
        </w:rPr>
      </w:pPr>
      <w:r>
        <w:rPr>
          <w:rFonts w:hint="eastAsia" w:ascii="仿宋_GB2312" w:eastAsia="仿宋_GB2312" w:cs="DengXian-Regular"/>
          <w:color w:val="auto"/>
          <w:sz w:val="32"/>
          <w:szCs w:val="32"/>
          <w:highlight w:val="none"/>
          <w:lang w:eastAsia="zh-CN"/>
        </w:rPr>
        <w:t>按照深化绩效预算管理的要求，修订了部门职责、工作活动及绩效评价指标，对预算项目执行工作活动进行了绩效评价，并将绩效评价结果应用到实际工作中，</w:t>
      </w:r>
      <w:r>
        <w:rPr>
          <w:rFonts w:hint="eastAsia" w:ascii="仿宋_GB2312" w:eastAsia="仿宋_GB2312" w:cs="DengXian-Regular"/>
          <w:color w:val="auto"/>
          <w:sz w:val="32"/>
          <w:szCs w:val="32"/>
          <w:highlight w:val="none"/>
        </w:rPr>
        <w:t>对调动干部的积极性、主动性和创造性，完善激励约束机制，起到了重要作用</w:t>
      </w:r>
      <w:r>
        <w:rPr>
          <w:rFonts w:hint="eastAsia" w:ascii="仿宋_GB2312" w:eastAsia="仿宋_GB2312" w:cs="DengXian-Regular"/>
          <w:color w:val="auto"/>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left="640" w:leftChars="0"/>
        <w:textAlignment w:val="auto"/>
        <w:outlineLvl w:val="9"/>
        <w:rPr>
          <w:rFonts w:hint="eastAsia" w:ascii="仿宋_GB2312" w:eastAsia="仿宋_GB2312" w:cs="DengXian-Regular"/>
          <w:sz w:val="32"/>
          <w:szCs w:val="32"/>
        </w:rPr>
      </w:pPr>
      <w:r>
        <w:rPr>
          <w:rFonts w:hint="eastAsia" w:ascii="仿宋_GB2312" w:eastAsia="仿宋_GB2312" w:cs="DengXian-Regular"/>
          <w:sz w:val="32"/>
          <w:szCs w:val="32"/>
          <w:lang w:eastAsia="zh-CN"/>
        </w:rPr>
        <w:t>（三）</w:t>
      </w:r>
      <w:r>
        <w:rPr>
          <w:rFonts w:hint="eastAsia" w:ascii="仿宋_GB2312" w:eastAsia="仿宋_GB2312" w:cs="DengXian-Regular"/>
          <w:sz w:val="32"/>
          <w:szCs w:val="32"/>
        </w:rPr>
        <w:t>预算项目绩效自评选例</w:t>
      </w:r>
    </w:p>
    <w:p>
      <w:pPr>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0" w:firstLineChars="200"/>
        <w:textAlignment w:val="auto"/>
        <w:outlineLvl w:val="9"/>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按照工作职能性质分类，组成评价小组，首先对每个项目进行打分，然后再将每个小组的得分采用加权平均方法测算出每一个项目的平均得分。评价小组提出修改意见及建议，并负责项目的综合评价工作。通过评价，阜康街道</w:t>
      </w:r>
      <w:bookmarkStart w:id="0" w:name="_GoBack"/>
      <w:bookmarkEnd w:id="0"/>
      <w:r>
        <w:rPr>
          <w:rFonts w:hint="eastAsia" w:ascii="仿宋_GB2312" w:eastAsia="仿宋_GB2312" w:cs="DengXian-Regular"/>
          <w:sz w:val="32"/>
          <w:szCs w:val="32"/>
          <w:lang w:val="en-US" w:eastAsia="zh-CN"/>
        </w:rPr>
        <w:t>办事处各项职责、活动目标都圆满完成，保障了机关正常有效运转，总评定等级为：优。</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本部门2017年度机关运行经费支出125.52万元，比2016年度增加</w:t>
      </w:r>
      <w:r>
        <w:rPr>
          <w:rFonts w:hint="eastAsia" w:ascii="仿宋_GB2312" w:eastAsia="仿宋_GB2312" w:cs="DengXian-Regular"/>
          <w:sz w:val="32"/>
          <w:szCs w:val="32"/>
          <w:lang w:val="en-US" w:eastAsia="zh-CN"/>
        </w:rPr>
        <w:t>6.47</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5.4</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卫生城创建</w:t>
      </w:r>
      <w:r>
        <w:rPr>
          <w:rFonts w:hint="eastAsia" w:ascii="仿宋_GB2312" w:eastAsia="仿宋_GB2312" w:cs="DengXian-Regular"/>
          <w:sz w:val="32"/>
          <w:szCs w:val="32"/>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本部门2017年度政府采购支出总额106.65万元，其中：政府采购货物支出18.04万元、政府采购工程支出88.61万元、政府采购服务支出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辆，其中，市级领导干部用车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辆、一般公务用车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辆、一般执法执勤用车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无其他用车</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w:t>
      </w:r>
      <w:r>
        <w:rPr>
          <w:rFonts w:hint="eastAsia" w:ascii="仿宋_GB2312" w:eastAsia="仿宋_GB2312" w:cs="DengXian-Regular"/>
          <w:sz w:val="32"/>
          <w:szCs w:val="32"/>
          <w:lang w:eastAsia="zh-CN"/>
        </w:rPr>
        <w:t>、国有资本经营预算财政拨款</w:t>
      </w:r>
      <w:r>
        <w:rPr>
          <w:rFonts w:hint="eastAsia" w:ascii="仿宋_GB2312" w:eastAsia="仿宋_GB2312" w:cs="DengXian-Regular"/>
          <w:sz w:val="32"/>
          <w:szCs w:val="32"/>
        </w:rPr>
        <w:t>无收支及结转结余情况，故政府性基金预算财政拨款收入支出决算</w:t>
      </w:r>
      <w:r>
        <w:rPr>
          <w:rFonts w:hint="eastAsia" w:ascii="仿宋_GB2312" w:eastAsia="仿宋_GB2312" w:cs="DengXian-Regular"/>
          <w:sz w:val="32"/>
          <w:szCs w:val="32"/>
          <w:lang w:eastAsia="zh-CN"/>
        </w:rPr>
        <w:t>、国有资本经营预算财政拨款收入支出决算</w:t>
      </w:r>
      <w:r>
        <w:rPr>
          <w:rFonts w:hint="eastAsia" w:ascii="仿宋_GB2312" w:eastAsia="仿宋_GB2312" w:cs="DengXian-Regular"/>
          <w:sz w:val="32"/>
          <w:szCs w:val="32"/>
        </w:rPr>
        <w:t>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w:t>
      </w:r>
      <w:r>
        <w:rPr>
          <w:rFonts w:hint="eastAsia" w:cs="SimSun,Bold" w:asciiTheme="majorEastAsia" w:hAnsiTheme="majorEastAsia" w:eastAsiaTheme="majorEastAsia"/>
          <w:bCs w:val="0"/>
        </w:rPr>
        <w:t xml:space="preserve"> </w:t>
      </w:r>
      <w:r>
        <w:rPr>
          <w:rFonts w:hint="eastAsia" w:cs="SimSun,Bold" w:asciiTheme="majorEastAsia" w:hAnsiTheme="majorEastAsia" w:eastAsiaTheme="majorEastAsia"/>
        </w:rPr>
        <w:t>名词解释</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Cambria">
    <w:panose1 w:val="02040503050406030204"/>
    <w:charset w:val="00"/>
    <w:family w:val="roman"/>
    <w:pitch w:val="default"/>
    <w:sig w:usb0="A00002EF" w:usb1="4000004B" w:usb2="00000000" w:usb3="00000000" w:csb0="200000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Dotum"/>
    <w:panose1 w:val="00000000000000000000"/>
    <w:charset w:val="81"/>
    <w:family w:val="auto"/>
    <w:pitch w:val="default"/>
    <w:sig w:usb0="00000000" w:usb1="00000000" w:usb2="00000010" w:usb3="00000000" w:csb0="00080001" w:csb1="00000000"/>
  </w:font>
  <w:font w:name="MS-UIGothic,Bold">
    <w:altName w:val="Dotum"/>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panose1 w:val="02010609030101010101"/>
    <w:charset w:val="86"/>
    <w:family w:val="modern"/>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1A0F3C52" w:usb2="00000010" w:usb3="00000000" w:csb0="0004001F" w:csb1="00000000"/>
  </w:font>
  <w:font w:name="Dotum">
    <w:panose1 w:val="020B0600000101010101"/>
    <w:charset w:val="81"/>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7B0E86"/>
    <w:multiLevelType w:val="singleLevel"/>
    <w:tmpl w:val="5C7B0E86"/>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24E7F"/>
    <w:rsid w:val="000475A0"/>
    <w:rsid w:val="000E2F81"/>
    <w:rsid w:val="00152FB8"/>
    <w:rsid w:val="001B3410"/>
    <w:rsid w:val="001C030D"/>
    <w:rsid w:val="002C04C4"/>
    <w:rsid w:val="002D08B0"/>
    <w:rsid w:val="00341C8F"/>
    <w:rsid w:val="00391D9D"/>
    <w:rsid w:val="003B6C51"/>
    <w:rsid w:val="003C1413"/>
    <w:rsid w:val="003C549F"/>
    <w:rsid w:val="003D5A16"/>
    <w:rsid w:val="005F4B66"/>
    <w:rsid w:val="00641318"/>
    <w:rsid w:val="0070664B"/>
    <w:rsid w:val="007071B8"/>
    <w:rsid w:val="007414DE"/>
    <w:rsid w:val="007905A9"/>
    <w:rsid w:val="007E5500"/>
    <w:rsid w:val="00840A97"/>
    <w:rsid w:val="008C0149"/>
    <w:rsid w:val="009A1ABE"/>
    <w:rsid w:val="00A35CE0"/>
    <w:rsid w:val="00A44AA4"/>
    <w:rsid w:val="00A61623"/>
    <w:rsid w:val="00A84687"/>
    <w:rsid w:val="00AD3B6E"/>
    <w:rsid w:val="00B56722"/>
    <w:rsid w:val="00C3774E"/>
    <w:rsid w:val="00C87FAB"/>
    <w:rsid w:val="00C91FF7"/>
    <w:rsid w:val="00C94E53"/>
    <w:rsid w:val="00DB35AF"/>
    <w:rsid w:val="00DF5B88"/>
    <w:rsid w:val="00E2595E"/>
    <w:rsid w:val="00E35374"/>
    <w:rsid w:val="00E50C19"/>
    <w:rsid w:val="00E856C9"/>
    <w:rsid w:val="00EB6A8B"/>
    <w:rsid w:val="00EF38C6"/>
    <w:rsid w:val="00FE3DC8"/>
    <w:rsid w:val="02143BE0"/>
    <w:rsid w:val="03D65241"/>
    <w:rsid w:val="0BFA2EE8"/>
    <w:rsid w:val="14FB0633"/>
    <w:rsid w:val="15FF64F3"/>
    <w:rsid w:val="16044C3D"/>
    <w:rsid w:val="175F75DC"/>
    <w:rsid w:val="19691B68"/>
    <w:rsid w:val="199024CE"/>
    <w:rsid w:val="234208FC"/>
    <w:rsid w:val="24A31A47"/>
    <w:rsid w:val="253B475D"/>
    <w:rsid w:val="265D3366"/>
    <w:rsid w:val="28534858"/>
    <w:rsid w:val="2B0970EB"/>
    <w:rsid w:val="2C7A097A"/>
    <w:rsid w:val="2E730F01"/>
    <w:rsid w:val="301D4893"/>
    <w:rsid w:val="33972FA2"/>
    <w:rsid w:val="37692C1D"/>
    <w:rsid w:val="3880451A"/>
    <w:rsid w:val="3986489B"/>
    <w:rsid w:val="3B9E38B6"/>
    <w:rsid w:val="3C771DE8"/>
    <w:rsid w:val="3ECE2375"/>
    <w:rsid w:val="3EF61B8B"/>
    <w:rsid w:val="3FA3652E"/>
    <w:rsid w:val="3FE946A9"/>
    <w:rsid w:val="44377748"/>
    <w:rsid w:val="45E8043C"/>
    <w:rsid w:val="4E081D86"/>
    <w:rsid w:val="53A05C59"/>
    <w:rsid w:val="53DA2132"/>
    <w:rsid w:val="5A317638"/>
    <w:rsid w:val="60BD1C0C"/>
    <w:rsid w:val="6A1F4CF2"/>
    <w:rsid w:val="6C5D2A45"/>
    <w:rsid w:val="6DC57214"/>
    <w:rsid w:val="6E723A59"/>
    <w:rsid w:val="70700984"/>
    <w:rsid w:val="730B41CD"/>
    <w:rsid w:val="731F37A2"/>
    <w:rsid w:val="77046A9A"/>
    <w:rsid w:val="790A304F"/>
    <w:rsid w:val="7A7120CB"/>
    <w:rsid w:val="7DFC7DEE"/>
    <w:rsid w:val="7EB24FA1"/>
    <w:rsid w:val="7F2A58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9"/>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Layout w:type="fixed"/>
      <w:tblCellMar>
        <w:top w:w="0" w:type="dxa"/>
        <w:left w:w="108" w:type="dxa"/>
        <w:bottom w:w="0" w:type="dxa"/>
        <w:right w:w="108" w:type="dxa"/>
      </w:tblCellMar>
    </w:tblPr>
  </w:style>
  <w:style w:type="paragraph" w:styleId="6">
    <w:name w:val="Balloon Text"/>
    <w:basedOn w:val="1"/>
    <w:link w:val="18"/>
    <w:semiHidden/>
    <w:unhideWhenUsed/>
    <w:qFormat/>
    <w:uiPriority w:val="99"/>
    <w:rPr>
      <w:sz w:val="18"/>
      <w:szCs w:val="18"/>
    </w:rPr>
  </w:style>
  <w:style w:type="paragraph" w:styleId="7">
    <w:name w:val="footer"/>
    <w:basedOn w:val="1"/>
    <w:link w:val="15"/>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0"/>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0">
    <w:name w:val="Title"/>
    <w:basedOn w:val="1"/>
    <w:next w:val="1"/>
    <w:link w:val="19"/>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pPr>
      <w:spacing w:after="0" w:line="240" w:lineRule="auto"/>
    </w:pPr>
    <w:rPr>
      <w:kern w:val="0"/>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4">
    <w:name w:val="页眉 Char"/>
    <w:basedOn w:val="11"/>
    <w:link w:val="8"/>
    <w:uiPriority w:val="99"/>
    <w:rPr>
      <w:sz w:val="18"/>
      <w:szCs w:val="18"/>
    </w:rPr>
  </w:style>
  <w:style w:type="character" w:customStyle="1" w:styleId="15">
    <w:name w:val="页脚 Char"/>
    <w:basedOn w:val="11"/>
    <w:link w:val="7"/>
    <w:uiPriority w:val="99"/>
    <w:rPr>
      <w:sz w:val="18"/>
      <w:szCs w:val="18"/>
    </w:rPr>
  </w:style>
  <w:style w:type="paragraph" w:styleId="16">
    <w:name w:val="No Spacing"/>
    <w:link w:val="17"/>
    <w:qFormat/>
    <w:uiPriority w:val="1"/>
    <w:pPr>
      <w:spacing w:after="160" w:line="480" w:lineRule="auto"/>
    </w:pPr>
    <w:rPr>
      <w:rFonts w:asciiTheme="minorHAnsi" w:hAnsiTheme="minorHAnsi" w:eastAsiaTheme="minorEastAsia" w:cstheme="minorBidi"/>
      <w:kern w:val="0"/>
      <w:sz w:val="22"/>
      <w:szCs w:val="22"/>
      <w:lang w:val="en-US" w:eastAsia="zh-CN" w:bidi="ar-SA"/>
    </w:rPr>
  </w:style>
  <w:style w:type="character" w:customStyle="1" w:styleId="17">
    <w:name w:val="无间隔 Char"/>
    <w:basedOn w:val="11"/>
    <w:link w:val="16"/>
    <w:qFormat/>
    <w:uiPriority w:val="1"/>
    <w:rPr>
      <w:kern w:val="0"/>
      <w:sz w:val="22"/>
    </w:rPr>
  </w:style>
  <w:style w:type="character" w:customStyle="1" w:styleId="18">
    <w:name w:val="批注框文本 Char"/>
    <w:basedOn w:val="11"/>
    <w:link w:val="6"/>
    <w:semiHidden/>
    <w:qFormat/>
    <w:uiPriority w:val="99"/>
    <w:rPr>
      <w:rFonts w:ascii="Times New Roman" w:hAnsi="Times New Roman" w:eastAsia="宋体" w:cs="Times New Roman"/>
      <w:sz w:val="18"/>
      <w:szCs w:val="18"/>
    </w:rPr>
  </w:style>
  <w:style w:type="character" w:customStyle="1" w:styleId="19">
    <w:name w:val="标题 Char"/>
    <w:basedOn w:val="11"/>
    <w:link w:val="10"/>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0">
    <w:name w:val="副标题 Char"/>
    <w:basedOn w:val="11"/>
    <w:link w:val="9"/>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1">
    <w:name w:val="Style1"/>
    <w:basedOn w:val="11"/>
    <w:qFormat/>
    <w:uiPriority w:val="1"/>
    <w:rPr>
      <w:rFonts w:asciiTheme="minorHAnsi" w:hAnsiTheme="minorEastAsia" w:eastAsiaTheme="minorEastAsia" w:cstheme="minorBidi"/>
      <w:sz w:val="22"/>
      <w:szCs w:val="22"/>
      <w:lang w:eastAsia="zh-CN"/>
    </w:rPr>
  </w:style>
  <w:style w:type="character" w:customStyle="1" w:styleId="22">
    <w:name w:val="Style2"/>
    <w:basedOn w:val="11"/>
    <w:uiPriority w:val="1"/>
    <w:rPr>
      <w:rFonts w:asciiTheme="minorHAnsi" w:hAnsiTheme="minorEastAsia" w:eastAsiaTheme="minorEastAsia" w:cstheme="minorBidi"/>
      <w:sz w:val="22"/>
      <w:szCs w:val="22"/>
      <w:lang w:eastAsia="zh-CN"/>
    </w:rPr>
  </w:style>
  <w:style w:type="character" w:customStyle="1" w:styleId="23">
    <w:name w:val="Style3"/>
    <w:basedOn w:val="11"/>
    <w:qFormat/>
    <w:uiPriority w:val="1"/>
    <w:rPr>
      <w:rFonts w:asciiTheme="minorHAnsi" w:hAnsiTheme="minorEastAsia" w:eastAsiaTheme="minorEastAsia" w:cstheme="minorBidi"/>
      <w:szCs w:val="22"/>
      <w:lang w:eastAsia="zh-CN"/>
    </w:rPr>
  </w:style>
  <w:style w:type="character" w:customStyle="1" w:styleId="24">
    <w:name w:val="Style4"/>
    <w:basedOn w:val="11"/>
    <w:qFormat/>
    <w:uiPriority w:val="1"/>
    <w:rPr>
      <w:rFonts w:asciiTheme="minorHAnsi" w:hAnsiTheme="minorEastAsia" w:eastAsiaTheme="minorEastAsia" w:cstheme="minorBidi"/>
      <w:szCs w:val="22"/>
      <w:lang w:eastAsia="zh-CN"/>
    </w:rPr>
  </w:style>
  <w:style w:type="character" w:customStyle="1" w:styleId="25">
    <w:name w:val="Style5"/>
    <w:basedOn w:val="11"/>
    <w:qFormat/>
    <w:uiPriority w:val="1"/>
    <w:rPr>
      <w:rFonts w:asciiTheme="minorHAnsi" w:hAnsiTheme="minorEastAsia" w:eastAsiaTheme="minorEastAsia" w:cstheme="minorBidi"/>
      <w:sz w:val="22"/>
      <w:szCs w:val="22"/>
      <w:lang w:eastAsia="zh-CN"/>
    </w:rPr>
  </w:style>
  <w:style w:type="character" w:customStyle="1" w:styleId="26">
    <w:name w:val="标题 1 Char"/>
    <w:basedOn w:val="11"/>
    <w:link w:val="2"/>
    <w:qFormat/>
    <w:uiPriority w:val="9"/>
    <w:rPr>
      <w:rFonts w:ascii="Times New Roman" w:hAnsi="Times New Roman" w:eastAsia="宋体" w:cs="Times New Roman"/>
      <w:b/>
      <w:bCs/>
      <w:kern w:val="44"/>
      <w:sz w:val="44"/>
      <w:szCs w:val="44"/>
    </w:rPr>
  </w:style>
  <w:style w:type="character" w:customStyle="1" w:styleId="27">
    <w:name w:val="标题 2 Char"/>
    <w:basedOn w:val="11"/>
    <w:link w:val="3"/>
    <w:uiPriority w:val="9"/>
    <w:rPr>
      <w:rFonts w:asciiTheme="majorHAnsi" w:hAnsiTheme="majorHAnsi" w:eastAsiaTheme="majorEastAsia" w:cstheme="majorBidi"/>
      <w:b/>
      <w:bCs/>
      <w:sz w:val="32"/>
      <w:szCs w:val="32"/>
    </w:rPr>
  </w:style>
  <w:style w:type="character" w:customStyle="1" w:styleId="28">
    <w:name w:val="标题 3 Char"/>
    <w:basedOn w:val="11"/>
    <w:link w:val="4"/>
    <w:uiPriority w:val="9"/>
    <w:rPr>
      <w:rFonts w:ascii="Times New Roman" w:hAnsi="Times New Roman" w:eastAsia="宋体" w:cs="Times New Roman"/>
      <w:b/>
      <w:bCs/>
      <w:sz w:val="32"/>
      <w:szCs w:val="32"/>
    </w:rPr>
  </w:style>
  <w:style w:type="character" w:customStyle="1" w:styleId="29">
    <w:name w:val="标题 4 Char"/>
    <w:basedOn w:val="11"/>
    <w:link w:val="5"/>
    <w:qFormat/>
    <w:uiPriority w:val="9"/>
    <w:rPr>
      <w:rFonts w:asciiTheme="majorHAnsi" w:hAnsiTheme="majorHAnsi" w:eastAsiaTheme="majorEastAsia" w:cstheme="majorBidi"/>
      <w:b/>
      <w:bCs/>
      <w:sz w:val="28"/>
      <w:szCs w:val="28"/>
    </w:rPr>
  </w:style>
  <w:style w:type="paragraph" w:styleId="3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2017年度支出 </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manualLayout>
                  <c:x val="-0.0799995670658643"/>
                  <c:y val="-0.15356083521176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基本支出1069.18万元，65.15%</a:t>
                    </a:r>
                  </a:p>
                </c:rich>
              </c:tx>
              <c:dLblPos val="bestFit"/>
              <c:showLegendKey val="0"/>
              <c:showVal val="1"/>
              <c:showCatName val="0"/>
              <c:showSerName val="0"/>
              <c:showPercent val="1"/>
              <c:showBubbleSize val="0"/>
              <c:extLst>
                <c:ext xmlns:c15="http://schemas.microsoft.com/office/drawing/2012/chart" uri="{CE6537A1-D6FC-4f65-9D91-7224C49458BB}">
                  <c15:layout>
                    <c:manualLayout>
                      <c:w val="0.424793388429752"/>
                      <c:h val="0.106317411402157"/>
                    </c:manualLayout>
                  </c15:layout>
                </c:ext>
              </c:extLst>
            </c:dLbl>
            <c:dLbl>
              <c:idx val="1"/>
              <c:layout>
                <c:manualLayout>
                  <c:x val="0.0873909507505722"/>
                  <c:y val="0.10072283933304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项目支出571.96万元，34.85%,</a:t>
                    </a:r>
                  </a:p>
                </c:rich>
              </c:tx>
              <c:dLblPos val="bestFit"/>
              <c:showLegendKey val="0"/>
              <c:showVal val="1"/>
              <c:showCatName val="0"/>
              <c:showSerName val="0"/>
              <c:showPercent val="1"/>
              <c:showBubbleSize val="0"/>
              <c:extLst>
                <c:ext xmlns:c15="http://schemas.microsoft.com/office/drawing/2012/chart" uri="{CE6537A1-D6FC-4f65-9D91-7224C49458BB}">
                  <c15:layout>
                    <c:manualLayout>
                      <c:w val="0.411269722013524"/>
                      <c:h val="0.106317411402157"/>
                    </c:manualLayout>
                  </c15:layout>
                </c:ext>
              </c:extLst>
            </c:dLbl>
            <c:spPr>
              <a:solidFill>
                <a:schemeClr val="bg1">
                  <a:alpha val="0"/>
                </a:schemeClr>
              </a:solidFill>
              <a:ln w="12700" cmpd="sng">
                <a:noFill/>
                <a:prstDash val="solid"/>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基本支出1069.18万元</c:v>
                </c:pt>
                <c:pt idx="1">
                  <c:v>项目支出571.96万元</c:v>
                </c:pt>
              </c:strCache>
            </c:strRef>
          </c:cat>
          <c:val>
            <c:numRef>
              <c:f>Sheet1!$B$2:$B$5</c:f>
              <c:numCache>
                <c:formatCode>0.00%</c:formatCode>
                <c:ptCount val="4"/>
                <c:pt idx="0">
                  <c:v>0.6515</c:v>
                </c:pt>
                <c:pt idx="1">
                  <c:v>0.3485</c:v>
                </c:pt>
              </c:numCache>
            </c:numRef>
          </c:val>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EA7F8D78-4C9B-4DB6-B8D7-8EAC9BC94786}">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820</Words>
  <Characters>4675</Characters>
  <Lines>38</Lines>
  <Paragraphs>10</Paragraphs>
  <TotalTime>10</TotalTime>
  <ScaleCrop>false</ScaleCrop>
  <LinksUpToDate>false</LinksUpToDate>
  <CharactersWithSpaces>5485</CharactersWithSpaces>
  <Application>WPS Office_10.1.0.7521_F1E327BC-269C-435d-A152-05C5408002CA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Administrator</cp:lastModifiedBy>
  <dcterms:modified xsi:type="dcterms:W3CDTF">2018-10-25T02:47:24Z</dcterms:modified>
  <dc:subject>石家庄市xxx部门</dc:subject>
  <dc:title>2017年度部门决算</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2052-10.1.0.7521</vt:lpwstr>
  </property>
</Properties>
</file>