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5960A3">
      <w:pPr>
        <w:adjustRightInd w:val="0"/>
        <w:snapToGrid w:val="0"/>
        <w:spacing w:line="560" w:lineRule="exact"/>
        <w:rPr>
          <w:rFonts w:hint="eastAsia" w:ascii="仿宋_GB2312" w:eastAsia="仿宋_GB2312"/>
          <w:sz w:val="32"/>
          <w:szCs w:val="32"/>
          <w:lang w:val="en-US" w:eastAsia="zh-CN"/>
        </w:rPr>
      </w:pPr>
      <w:r>
        <w:rPr>
          <w:rFonts w:hint="eastAsia" w:ascii="仿宋_GB2312" w:eastAsia="仿宋_GB2312"/>
          <w:sz w:val="32"/>
          <w:szCs w:val="32"/>
        </w:rPr>
        <w:t>附件</w:t>
      </w:r>
      <w:r>
        <w:rPr>
          <w:rFonts w:hint="eastAsia" w:ascii="仿宋_GB2312" w:eastAsia="仿宋_GB2312"/>
          <w:sz w:val="32"/>
          <w:szCs w:val="32"/>
          <w:lang w:val="en-US" w:eastAsia="zh-CN"/>
        </w:rPr>
        <w:t>3</w:t>
      </w:r>
    </w:p>
    <w:p w14:paraId="0297BACD">
      <w:pPr>
        <w:spacing w:line="560" w:lineRule="exact"/>
        <w:jc w:val="center"/>
        <w:rPr>
          <w:rFonts w:ascii="宋体" w:hAnsi="宋体" w:cs="宋体"/>
          <w:b/>
          <w:bCs/>
          <w:sz w:val="44"/>
          <w:szCs w:val="44"/>
        </w:rPr>
      </w:pPr>
    </w:p>
    <w:p w14:paraId="3AF39D70">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河东街道办事处</w:t>
      </w:r>
    </w:p>
    <w:p w14:paraId="1E34018F">
      <w:pPr>
        <w:spacing w:line="560" w:lineRule="exact"/>
        <w:jc w:val="center"/>
        <w:rPr>
          <w:rFonts w:ascii="宋体" w:hAnsi="宋体" w:cs="宋体"/>
          <w:b/>
          <w:bCs/>
          <w:sz w:val="44"/>
          <w:szCs w:val="44"/>
        </w:rPr>
      </w:pPr>
      <w:r>
        <w:rPr>
          <w:rFonts w:hint="eastAsia" w:ascii="宋体" w:hAnsi="宋体" w:cs="宋体"/>
          <w:b/>
          <w:bCs/>
          <w:sz w:val="44"/>
          <w:szCs w:val="44"/>
          <w:lang w:eastAsia="zh-CN"/>
        </w:rPr>
        <w:t>2025</w:t>
      </w:r>
      <w:r>
        <w:rPr>
          <w:rFonts w:hint="eastAsia" w:ascii="宋体" w:hAnsi="宋体" w:cs="宋体"/>
          <w:b/>
          <w:bCs/>
          <w:sz w:val="44"/>
          <w:szCs w:val="44"/>
        </w:rPr>
        <w:t>年度整体支出绩效自评报告</w:t>
      </w:r>
    </w:p>
    <w:p w14:paraId="741855FB">
      <w:pPr>
        <w:spacing w:line="560" w:lineRule="exact"/>
        <w:jc w:val="center"/>
        <w:rPr>
          <w:rFonts w:ascii="华文楷体" w:eastAsia="华文楷体"/>
          <w:sz w:val="32"/>
          <w:szCs w:val="32"/>
        </w:rPr>
      </w:pPr>
    </w:p>
    <w:p w14:paraId="29FA16C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河东街道办事处2025</w:t>
      </w:r>
      <w:r>
        <w:rPr>
          <w:rFonts w:hint="eastAsia" w:ascii="仿宋" w:hAnsi="仿宋" w:eastAsia="仿宋"/>
          <w:sz w:val="32"/>
          <w:szCs w:val="32"/>
        </w:rPr>
        <w:t>年整体支出情况实施了财政支出绩效自评价，形成本评价报告。</w:t>
      </w:r>
    </w:p>
    <w:p w14:paraId="682DE5C5">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97A4EF7">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453EF641">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根据《石家庄市长安区人民政府</w:t>
      </w:r>
      <w:r>
        <w:rPr>
          <w:rFonts w:hint="eastAsia" w:ascii="仿宋" w:hAnsi="仿宋" w:eastAsia="仿宋" w:cs="仿宋"/>
          <w:sz w:val="32"/>
          <w:szCs w:val="32"/>
          <w:lang w:eastAsia="zh-CN"/>
        </w:rPr>
        <w:t>河东</w:t>
      </w:r>
      <w:r>
        <w:rPr>
          <w:rFonts w:hint="eastAsia" w:ascii="仿宋" w:hAnsi="仿宋" w:eastAsia="仿宋" w:cs="仿宋"/>
          <w:sz w:val="32"/>
          <w:szCs w:val="32"/>
        </w:rPr>
        <w:t>街道办事处职能配置、内设机构和人员编制规定》， 石家庄市长安区人民政府</w:t>
      </w:r>
      <w:r>
        <w:rPr>
          <w:rFonts w:hint="eastAsia" w:ascii="仿宋" w:hAnsi="仿宋" w:eastAsia="仿宋" w:cs="仿宋"/>
          <w:sz w:val="32"/>
          <w:szCs w:val="32"/>
          <w:lang w:eastAsia="zh-CN"/>
        </w:rPr>
        <w:t>河东</w:t>
      </w:r>
      <w:r>
        <w:rPr>
          <w:rFonts w:hint="eastAsia" w:ascii="仿宋" w:hAnsi="仿宋" w:eastAsia="仿宋" w:cs="仿宋"/>
          <w:sz w:val="32"/>
          <w:szCs w:val="32"/>
        </w:rPr>
        <w:t>街道办事处的主要职责是：</w:t>
      </w:r>
    </w:p>
    <w:p w14:paraId="42F4BC5B">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（一）宣传贯彻执行党的路线方针政策和党中央、上级党组织的决议。贯彻执行法律、法规、规章和上级人民代表大会及其常务委员会决议及上级政府的决定、命令，依法管理辖区公共事务。</w:t>
      </w:r>
    </w:p>
    <w:p w14:paraId="2F42E6F9">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二）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14:paraId="3F52E306">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（三）负责办理上级人大常委会交办的监督、选举以及其他工作，做好人大代表工作，联系选民、反映群众意见和要求。</w:t>
      </w:r>
    </w:p>
    <w:p w14:paraId="5C9EF440">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四）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14:paraId="1CFEFC89">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（五）街道党工委领导群团组织，加强指导和规范，支持和保证群团组织依照国家法律法规以及各自章程履行职责。坚持党管武装的根本原则和制度，协调各方力量，对街道人民武装工作实行统一领导。</w:t>
      </w:r>
    </w:p>
    <w:p w14:paraId="02771F23">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六）指导居民委员会等基层群众性自治组织建设，健全自治平台。组织动员社区居民、单位和社会力量参与社区治理，整合辖区内社会力量，形成社区共治合力，为社区发展服务。对社区工作者队伍进行教育管理。</w:t>
      </w:r>
    </w:p>
    <w:p w14:paraId="2FDA6F1E">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（七）按照管理权限，对街道机关及所属单位干部进行教育培训、选拔、考核和监督，对上级政府职能部门派出机构的工作考核和主要负责同志任免提出意见。</w:t>
      </w:r>
    </w:p>
    <w:p w14:paraId="20E9A1E6">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（八）组织维护辖区安全稳定，协调推动社会治安综合治理，做好应急管理、民族宗教工作，承担民兵预备役、征兵、退役军人服务、拥军优属、防范邪教等工作。</w:t>
      </w:r>
    </w:p>
    <w:p w14:paraId="350B1D21">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（九）组织开展群众性文化、体育、科普活动，开展法治宣传和社会公德教育，推动社区公益事业发展。维护老年人、妇女、未成年人、残疾人等合法权益。</w:t>
      </w:r>
    </w:p>
    <w:p w14:paraId="758E5ADC">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（十）参与辖区设施规划、建设和验收，综合管理、统筹调度和考核督办涉及辖区的公共事务，按照有关规定统筹使用下沉到街道社区的人财物等资源。</w:t>
      </w:r>
    </w:p>
    <w:p w14:paraId="32D89276">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（十一）承办上级党委、人大、政府交办的其他事项。</w:t>
      </w:r>
    </w:p>
    <w:p w14:paraId="59EDBA36">
      <w:pPr>
        <w:autoSpaceDE w:val="0"/>
        <w:autoSpaceDN w:val="0"/>
        <w:adjustRightInd w:val="0"/>
        <w:ind w:firstLine="643" w:firstLineChars="200"/>
        <w:jc w:val="left"/>
        <w:rPr>
          <w:rFonts w:ascii="方正仿宋_GBK" w:eastAsia="方正仿宋_GBK"/>
          <w:b/>
          <w:sz w:val="32"/>
          <w:szCs w:val="32"/>
        </w:rPr>
      </w:pPr>
      <w:r>
        <w:rPr>
          <w:rFonts w:hint="eastAsia" w:ascii="仿宋" w:hAnsi="仿宋" w:eastAsia="仿宋" w:cs="仿宋"/>
          <w:b/>
          <w:sz w:val="32"/>
          <w:szCs w:val="32"/>
        </w:rPr>
        <w:t>机构设置</w:t>
      </w:r>
      <w:r>
        <w:rPr>
          <w:rFonts w:hint="eastAsia" w:ascii="方正仿宋_GBK" w:eastAsia="方正仿宋_GBK"/>
          <w:b/>
          <w:sz w:val="32"/>
          <w:szCs w:val="32"/>
        </w:rPr>
        <w:t>：</w:t>
      </w:r>
    </w:p>
    <w:p w14:paraId="526E4B72">
      <w:pPr>
        <w:jc w:val="center"/>
        <w:outlineLvl w:val="0"/>
        <w:rPr>
          <w:rFonts w:eastAsia="方正小标宋_GBK"/>
          <w:sz w:val="32"/>
          <w:szCs w:val="24"/>
        </w:rPr>
      </w:pPr>
    </w:p>
    <w:p w14:paraId="20BB0660">
      <w:pPr>
        <w:jc w:val="center"/>
        <w:outlineLvl w:val="0"/>
        <w:rPr>
          <w:rFonts w:eastAsia="方正小标宋_GBK"/>
          <w:sz w:val="32"/>
          <w:szCs w:val="24"/>
        </w:rPr>
      </w:pPr>
    </w:p>
    <w:p w14:paraId="03A3690B">
      <w:pPr>
        <w:jc w:val="center"/>
        <w:outlineLvl w:val="0"/>
        <w:rPr>
          <w:rFonts w:eastAsia="方正小标宋_GBK"/>
          <w:sz w:val="32"/>
          <w:szCs w:val="24"/>
        </w:rPr>
      </w:pPr>
      <w:r>
        <w:rPr>
          <w:rFonts w:eastAsia="方正小标宋_GBK"/>
          <w:sz w:val="32"/>
          <w:szCs w:val="24"/>
        </w:rPr>
        <w:t>部门</w:t>
      </w:r>
      <w:r>
        <w:rPr>
          <w:rFonts w:hint="eastAsia" w:eastAsia="方正小标宋_GBK"/>
          <w:sz w:val="32"/>
          <w:szCs w:val="24"/>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3BBD7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noWrap w:val="0"/>
            <w:vAlign w:val="center"/>
          </w:tcPr>
          <w:p w14:paraId="71F3E1DB">
            <w:pPr>
              <w:spacing w:line="300" w:lineRule="exact"/>
              <w:jc w:val="center"/>
              <w:rPr>
                <w:rFonts w:eastAsia="方正书宋_GBK"/>
                <w:b/>
                <w:szCs w:val="24"/>
              </w:rPr>
            </w:pPr>
            <w:r>
              <w:rPr>
                <w:rFonts w:eastAsia="方正书宋_GBK"/>
                <w:b/>
                <w:szCs w:val="24"/>
              </w:rPr>
              <w:t>单位名称</w:t>
            </w:r>
          </w:p>
        </w:tc>
        <w:tc>
          <w:tcPr>
            <w:tcW w:w="1134" w:type="dxa"/>
            <w:vMerge w:val="restart"/>
            <w:noWrap w:val="0"/>
            <w:vAlign w:val="center"/>
          </w:tcPr>
          <w:p w14:paraId="7FBEE8BA">
            <w:pPr>
              <w:spacing w:line="300" w:lineRule="exact"/>
              <w:jc w:val="center"/>
              <w:rPr>
                <w:rFonts w:eastAsia="方正书宋_GBK"/>
                <w:b/>
                <w:szCs w:val="24"/>
              </w:rPr>
            </w:pPr>
            <w:r>
              <w:rPr>
                <w:rFonts w:eastAsia="方正书宋_GBK"/>
                <w:b/>
                <w:szCs w:val="24"/>
              </w:rPr>
              <w:t>单位性质</w:t>
            </w:r>
          </w:p>
        </w:tc>
        <w:tc>
          <w:tcPr>
            <w:tcW w:w="1276" w:type="dxa"/>
            <w:vMerge w:val="restart"/>
            <w:noWrap w:val="0"/>
            <w:vAlign w:val="center"/>
          </w:tcPr>
          <w:p w14:paraId="280658B7">
            <w:pPr>
              <w:spacing w:line="300" w:lineRule="exact"/>
              <w:jc w:val="center"/>
              <w:rPr>
                <w:rFonts w:eastAsia="方正书宋_GBK"/>
                <w:b/>
                <w:szCs w:val="24"/>
              </w:rPr>
            </w:pPr>
            <w:r>
              <w:rPr>
                <w:rFonts w:eastAsia="方正书宋_GBK"/>
                <w:b/>
                <w:szCs w:val="24"/>
              </w:rPr>
              <w:t>单位规格</w:t>
            </w:r>
          </w:p>
        </w:tc>
        <w:tc>
          <w:tcPr>
            <w:tcW w:w="2902" w:type="dxa"/>
            <w:vMerge w:val="restart"/>
            <w:noWrap w:val="0"/>
            <w:vAlign w:val="center"/>
          </w:tcPr>
          <w:p w14:paraId="267CB59D">
            <w:pPr>
              <w:spacing w:line="300" w:lineRule="exact"/>
              <w:jc w:val="center"/>
              <w:rPr>
                <w:rFonts w:eastAsia="方正书宋_GBK"/>
                <w:b/>
                <w:szCs w:val="24"/>
              </w:rPr>
            </w:pPr>
            <w:r>
              <w:rPr>
                <w:rFonts w:eastAsia="方正书宋_GBK"/>
                <w:b/>
                <w:szCs w:val="24"/>
              </w:rPr>
              <w:t>经费保障形式</w:t>
            </w:r>
          </w:p>
        </w:tc>
      </w:tr>
      <w:tr w14:paraId="445A1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noWrap w:val="0"/>
            <w:vAlign w:val="center"/>
          </w:tcPr>
          <w:p w14:paraId="50E4AB9F">
            <w:pPr>
              <w:spacing w:line="300" w:lineRule="exact"/>
              <w:jc w:val="left"/>
              <w:outlineLvl w:val="0"/>
              <w:rPr>
                <w:szCs w:val="24"/>
              </w:rPr>
            </w:pPr>
          </w:p>
        </w:tc>
        <w:tc>
          <w:tcPr>
            <w:tcW w:w="1134" w:type="dxa"/>
            <w:vMerge w:val="continue"/>
            <w:noWrap w:val="0"/>
            <w:vAlign w:val="center"/>
          </w:tcPr>
          <w:p w14:paraId="32DB0B3B">
            <w:pPr>
              <w:spacing w:line="300" w:lineRule="exact"/>
              <w:jc w:val="left"/>
              <w:outlineLvl w:val="0"/>
              <w:rPr>
                <w:szCs w:val="24"/>
              </w:rPr>
            </w:pPr>
          </w:p>
        </w:tc>
        <w:tc>
          <w:tcPr>
            <w:tcW w:w="1276" w:type="dxa"/>
            <w:vMerge w:val="continue"/>
            <w:noWrap w:val="0"/>
            <w:vAlign w:val="center"/>
          </w:tcPr>
          <w:p w14:paraId="7576E7CF">
            <w:pPr>
              <w:spacing w:line="300" w:lineRule="exact"/>
              <w:jc w:val="left"/>
              <w:outlineLvl w:val="0"/>
              <w:rPr>
                <w:szCs w:val="24"/>
              </w:rPr>
            </w:pPr>
          </w:p>
        </w:tc>
        <w:tc>
          <w:tcPr>
            <w:tcW w:w="2902" w:type="dxa"/>
            <w:vMerge w:val="continue"/>
            <w:noWrap w:val="0"/>
            <w:vAlign w:val="center"/>
          </w:tcPr>
          <w:p w14:paraId="0A6C1357">
            <w:pPr>
              <w:spacing w:line="300" w:lineRule="exact"/>
              <w:jc w:val="left"/>
              <w:outlineLvl w:val="0"/>
              <w:rPr>
                <w:szCs w:val="24"/>
              </w:rPr>
            </w:pPr>
          </w:p>
        </w:tc>
      </w:tr>
      <w:tr w14:paraId="747EF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14:paraId="4F35607C">
            <w:pPr>
              <w:spacing w:line="300" w:lineRule="exact"/>
              <w:jc w:val="center"/>
              <w:rPr>
                <w:rFonts w:hint="eastAsia" w:ascii="仿宋" w:hAnsi="仿宋" w:eastAsia="仿宋"/>
                <w:szCs w:val="24"/>
              </w:rPr>
            </w:pPr>
            <w:r>
              <w:rPr>
                <w:rFonts w:hint="eastAsia" w:ascii="Times New Roman" w:hAnsi="Times New Roman" w:eastAsia="仿宋" w:cs="Times New Roman"/>
                <w:kern w:val="0"/>
                <w:sz w:val="22"/>
              </w:rPr>
              <w:t>长安区人民政府</w:t>
            </w:r>
            <w:r>
              <w:rPr>
                <w:rFonts w:hint="eastAsia" w:ascii="Times New Roman" w:hAnsi="Times New Roman" w:eastAsia="仿宋" w:cs="Times New Roman"/>
                <w:kern w:val="0"/>
                <w:sz w:val="22"/>
                <w:lang w:eastAsia="zh-CN"/>
              </w:rPr>
              <w:t>河东</w:t>
            </w:r>
            <w:r>
              <w:rPr>
                <w:rFonts w:hint="eastAsia" w:ascii="Times New Roman" w:hAnsi="Times New Roman" w:eastAsia="仿宋" w:cs="Times New Roman"/>
                <w:kern w:val="0"/>
                <w:sz w:val="22"/>
              </w:rPr>
              <w:t>街道办事处</w:t>
            </w:r>
          </w:p>
        </w:tc>
        <w:tc>
          <w:tcPr>
            <w:tcW w:w="1134" w:type="dxa"/>
            <w:noWrap w:val="0"/>
            <w:vAlign w:val="center"/>
          </w:tcPr>
          <w:p w14:paraId="37503599">
            <w:pPr>
              <w:spacing w:line="300" w:lineRule="exact"/>
              <w:jc w:val="center"/>
              <w:rPr>
                <w:rFonts w:hint="eastAsia" w:ascii="仿宋" w:hAnsi="仿宋" w:eastAsia="仿宋"/>
                <w:szCs w:val="24"/>
              </w:rPr>
            </w:pPr>
            <w:r>
              <w:rPr>
                <w:rFonts w:hint="eastAsia" w:ascii="仿宋" w:hAnsi="仿宋" w:eastAsia="仿宋"/>
                <w:szCs w:val="24"/>
              </w:rPr>
              <w:t>行政</w:t>
            </w:r>
          </w:p>
        </w:tc>
        <w:tc>
          <w:tcPr>
            <w:tcW w:w="1276" w:type="dxa"/>
            <w:noWrap w:val="0"/>
            <w:vAlign w:val="center"/>
          </w:tcPr>
          <w:p w14:paraId="58CA5D73">
            <w:pPr>
              <w:spacing w:line="300" w:lineRule="exact"/>
              <w:jc w:val="center"/>
              <w:rPr>
                <w:rFonts w:hint="eastAsia" w:ascii="仿宋" w:hAnsi="仿宋" w:eastAsia="仿宋"/>
                <w:szCs w:val="24"/>
              </w:rPr>
            </w:pPr>
            <w:r>
              <w:rPr>
                <w:rFonts w:hint="eastAsia" w:ascii="仿宋" w:hAnsi="仿宋" w:eastAsia="仿宋"/>
                <w:szCs w:val="24"/>
              </w:rPr>
              <w:t>正科级</w:t>
            </w:r>
          </w:p>
        </w:tc>
        <w:tc>
          <w:tcPr>
            <w:tcW w:w="2902" w:type="dxa"/>
            <w:noWrap w:val="0"/>
            <w:vAlign w:val="center"/>
          </w:tcPr>
          <w:p w14:paraId="4ACF58E0">
            <w:pPr>
              <w:spacing w:line="300" w:lineRule="exact"/>
              <w:jc w:val="center"/>
              <w:rPr>
                <w:rFonts w:hint="eastAsia" w:ascii="仿宋" w:hAnsi="仿宋" w:eastAsia="仿宋"/>
                <w:szCs w:val="24"/>
              </w:rPr>
            </w:pPr>
            <w:r>
              <w:rPr>
                <w:rFonts w:hint="eastAsia" w:ascii="仿宋" w:hAnsi="仿宋" w:eastAsia="仿宋"/>
                <w:szCs w:val="24"/>
              </w:rPr>
              <w:t>财政拨款</w:t>
            </w:r>
          </w:p>
        </w:tc>
      </w:tr>
    </w:tbl>
    <w:p w14:paraId="6EC47861">
      <w:pPr>
        <w:spacing w:line="500" w:lineRule="exact"/>
        <w:jc w:val="left"/>
        <w:rPr>
          <w:rFonts w:hint="eastAsia" w:ascii="仿宋" w:hAnsi="仿宋" w:eastAsia="仿宋" w:cs="仿宋"/>
          <w:sz w:val="32"/>
          <w:szCs w:val="32"/>
        </w:rPr>
      </w:pPr>
    </w:p>
    <w:p w14:paraId="657DE159">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0ED8BECE">
      <w:pPr>
        <w:keepNext w:val="0"/>
        <w:keepLines w:val="0"/>
        <w:widowControl w:val="0"/>
        <w:suppressLineNumbers w:val="0"/>
        <w:snapToGrid w:val="0"/>
        <w:spacing w:before="0" w:beforeAutospacing="0" w:after="0" w:afterAutospacing="0" w:line="520" w:lineRule="exact"/>
        <w:ind w:left="0" w:right="0" w:firstLine="640" w:firstLineChars="200"/>
        <w:jc w:val="both"/>
        <w:rPr>
          <w:rFonts w:hint="eastAsia" w:ascii="仿宋_GB2312" w:hAnsi="仿宋" w:eastAsia="仿宋_GB2312" w:cs="仿宋_GB2312"/>
          <w:sz w:val="32"/>
          <w:szCs w:val="32"/>
          <w:lang w:val="en-US" w:eastAsia="zh-CN"/>
        </w:rPr>
      </w:pPr>
      <w:r>
        <w:rPr>
          <w:rFonts w:hint="eastAsia" w:ascii="仿宋_GB2312" w:hAnsi="仿宋" w:eastAsia="仿宋_GB2312" w:cs="仿宋_GB2312"/>
          <w:kern w:val="2"/>
          <w:sz w:val="32"/>
          <w:szCs w:val="32"/>
          <w:lang w:val="en-US" w:eastAsia="zh-CN" w:bidi="ar"/>
        </w:rPr>
        <w:t>河东街道办事处2025年实际收入总计16486.36万元，其中：一般公共预算财政拨款收入3662.01万元。一般公共预算财政拨款收入比上年减少101.45万元，</w:t>
      </w:r>
      <w:bookmarkStart w:id="1" w:name="_GoBack"/>
      <w:bookmarkEnd w:id="1"/>
      <w:r>
        <w:rPr>
          <w:rFonts w:hint="eastAsia" w:ascii="仿宋_GB2312" w:hAnsi="仿宋" w:eastAsia="仿宋_GB2312" w:cs="仿宋_GB2312"/>
          <w:kern w:val="2"/>
          <w:sz w:val="32"/>
          <w:szCs w:val="32"/>
          <w:lang w:val="en-US" w:eastAsia="zh-CN" w:bidi="ar"/>
        </w:rPr>
        <w:t>降幅2.7%。</w:t>
      </w:r>
    </w:p>
    <w:p w14:paraId="7000F96B">
      <w:pPr>
        <w:keepNext w:val="0"/>
        <w:keepLines w:val="0"/>
        <w:widowControl w:val="0"/>
        <w:suppressLineNumbers w:val="0"/>
        <w:snapToGrid w:val="0"/>
        <w:spacing w:before="0" w:beforeAutospacing="0" w:after="0" w:afterAutospacing="0" w:line="520" w:lineRule="exact"/>
        <w:ind w:left="0" w:right="0" w:firstLine="640" w:firstLineChars="200"/>
        <w:jc w:val="both"/>
        <w:rPr>
          <w:rFonts w:hint="eastAsia" w:ascii="楷体" w:hAnsi="楷体" w:eastAsia="楷体" w:cs="楷体_GB2312"/>
          <w:bCs/>
          <w:sz w:val="32"/>
          <w:szCs w:val="32"/>
        </w:rPr>
      </w:pPr>
      <w:r>
        <w:rPr>
          <w:rFonts w:hint="eastAsia" w:ascii="仿宋_GB2312" w:hAnsi="仿宋" w:eastAsia="仿宋_GB2312" w:cs="仿宋_GB2312"/>
          <w:kern w:val="2"/>
          <w:sz w:val="32"/>
          <w:szCs w:val="32"/>
          <w:lang w:val="en-US" w:eastAsia="zh-CN" w:bidi="ar"/>
        </w:rPr>
        <w:t>2025年一般公共预算财政拨款实际支出3662.01万元，比上年减少101.45万元，降幅2.7%，主要是因为环保项目支出减少。包括：基本支出2080.74万元，比上年增加了191.21万元，增幅10.1%，主要原因是人员经费增多。项目支出14405.61万元，比上年增加12167.02万元，增幅543.51%。主要是土地出让金的增加。</w:t>
      </w:r>
    </w:p>
    <w:p w14:paraId="61BBD161">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419E376C">
      <w:pPr>
        <w:pStyle w:val="7"/>
        <w:ind w:left="0" w:leftChars="0"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全面落实党的二十大的战略部署，深入贯彻省委十届三次全会精神，加快建设现代化、国际化美丽省会城市，让中国式现代化在河东街道呈现蓬勃生机活力。河东街道撸起袖子加油干、风雨无阻向前行，以经济建设为中心，用实际行动在加快建设经济强区、美丽长安中交出河东答卷。</w:t>
      </w:r>
    </w:p>
    <w:p w14:paraId="646AC349">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1B83BB73">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0D482BBE">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cs="仿宋"/>
          <w:sz w:val="32"/>
          <w:szCs w:val="32"/>
          <w:lang w:eastAsia="zh-CN"/>
        </w:rPr>
        <w:t>一是成立自评工作小组，</w:t>
      </w:r>
      <w:r>
        <w:rPr>
          <w:rFonts w:hint="eastAsia" w:ascii="仿宋" w:hAnsi="仿宋" w:eastAsia="仿宋" w:cs="仿宋"/>
          <w:color w:val="000000"/>
          <w:kern w:val="0"/>
          <w:sz w:val="32"/>
          <w:szCs w:val="32"/>
        </w:rPr>
        <w:t>根据评价工作要求，全面收集评价所需基础信息资料</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包括被评价单位的基本概况、财政资金的使用情况和绩效自评资料等</w:t>
      </w:r>
      <w:r>
        <w:rPr>
          <w:rFonts w:hint="eastAsia" w:ascii="仿宋" w:hAnsi="仿宋" w:eastAsia="仿宋" w:cs="仿宋"/>
          <w:color w:val="000000"/>
          <w:kern w:val="0"/>
          <w:sz w:val="32"/>
          <w:szCs w:val="32"/>
          <w:lang w:eastAsia="zh-CN"/>
        </w:rPr>
        <w:t>；二是</w:t>
      </w:r>
      <w:r>
        <w:rPr>
          <w:rFonts w:hint="eastAsia" w:ascii="仿宋" w:hAnsi="仿宋" w:eastAsia="仿宋" w:cs="仿宋"/>
          <w:color w:val="000000"/>
          <w:kern w:val="0"/>
          <w:sz w:val="32"/>
          <w:szCs w:val="32"/>
        </w:rPr>
        <w:t>确定评价指标体系、评价标准和评价方法，依据所收集的资料，对评价对象的绩效情况进行量、定性分析和综合评价，形成评价结论。</w:t>
      </w:r>
    </w:p>
    <w:p w14:paraId="71DD3F85">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1A3D455A">
      <w:pPr>
        <w:spacing w:beforeLines="0" w:afterLines="0" w:line="240" w:lineRule="atLeast"/>
        <w:ind w:left="142" w:firstLine="566" w:firstLineChars="177"/>
        <w:rPr>
          <w:rFonts w:hint="eastAsia" w:ascii="仿宋" w:hAnsi="仿宋" w:eastAsia="仿宋"/>
          <w:sz w:val="32"/>
          <w:szCs w:val="24"/>
        </w:rPr>
      </w:pPr>
      <w:r>
        <w:rPr>
          <w:rFonts w:hint="eastAsia" w:ascii="仿宋" w:hAnsi="仿宋" w:eastAsia="仿宋"/>
          <w:sz w:val="32"/>
          <w:szCs w:val="24"/>
        </w:rPr>
        <w:t>一是绩效评价的原则</w:t>
      </w:r>
    </w:p>
    <w:p w14:paraId="1761373E">
      <w:pPr>
        <w:spacing w:beforeLines="0" w:afterLines="0" w:line="316" w:lineRule="auto"/>
        <w:ind w:firstLine="641"/>
        <w:rPr>
          <w:rFonts w:hint="eastAsia" w:ascii="仿宋" w:hAnsi="仿宋" w:eastAsia="仿宋"/>
          <w:sz w:val="32"/>
          <w:szCs w:val="24"/>
        </w:rPr>
      </w:pPr>
      <w:r>
        <w:rPr>
          <w:rFonts w:hint="eastAsia" w:ascii="仿宋" w:hAnsi="仿宋" w:eastAsia="仿宋"/>
          <w:sz w:val="32"/>
          <w:szCs w:val="24"/>
        </w:rPr>
        <w:t>（1）科学规范。绩效评价注重财政支出的经济性、效率性和有效性，严格执行规定的程序，采用定量与定性分析 相结合的方法。</w:t>
      </w:r>
    </w:p>
    <w:p w14:paraId="529429EF">
      <w:pPr>
        <w:spacing w:beforeLines="0" w:afterLines="0" w:line="304" w:lineRule="auto"/>
        <w:ind w:firstLine="641"/>
        <w:rPr>
          <w:rFonts w:hint="eastAsia" w:ascii="仿宋" w:hAnsi="仿宋" w:eastAsia="仿宋"/>
          <w:sz w:val="32"/>
          <w:szCs w:val="24"/>
        </w:rPr>
      </w:pPr>
      <w:r>
        <w:rPr>
          <w:rFonts w:hint="eastAsia" w:ascii="仿宋" w:hAnsi="仿宋" w:eastAsia="仿宋"/>
          <w:sz w:val="32"/>
          <w:szCs w:val="24"/>
        </w:rPr>
        <w:t>（2）公正公开。绩效评价客观、公正，标准统一、资料可靠，依法公开。</w:t>
      </w:r>
    </w:p>
    <w:p w14:paraId="546039D2">
      <w:pPr>
        <w:spacing w:beforeLines="0" w:afterLines="0" w:line="316" w:lineRule="auto"/>
        <w:ind w:firstLine="641"/>
        <w:rPr>
          <w:rFonts w:hint="eastAsia" w:ascii="仿宋" w:hAnsi="仿宋" w:eastAsia="仿宋"/>
          <w:sz w:val="32"/>
          <w:szCs w:val="24"/>
        </w:rPr>
      </w:pPr>
      <w:r>
        <w:rPr>
          <w:rFonts w:hint="eastAsia" w:ascii="仿宋" w:hAnsi="仿宋" w:eastAsia="仿宋"/>
          <w:sz w:val="32"/>
          <w:szCs w:val="24"/>
        </w:rPr>
        <w:t>（3）绩效相关。绩效评价针对具体支出及其产出绩效进行评价，结果清晰反映支出和产出绩效之间的紧密对应关系。</w:t>
      </w:r>
    </w:p>
    <w:p w14:paraId="51DAB0AC">
      <w:pPr>
        <w:spacing w:beforeLines="0" w:afterLines="0" w:line="175" w:lineRule="exact"/>
        <w:rPr>
          <w:rFonts w:hint="default" w:eastAsia="Times New Roman"/>
          <w:sz w:val="21"/>
          <w:szCs w:val="24"/>
        </w:rPr>
      </w:pPr>
    </w:p>
    <w:p w14:paraId="2BAFD817">
      <w:pPr>
        <w:spacing w:beforeLines="0" w:afterLines="0" w:line="240" w:lineRule="atLeast"/>
        <w:ind w:left="640"/>
        <w:rPr>
          <w:rFonts w:hint="eastAsia" w:ascii="仿宋" w:hAnsi="仿宋" w:eastAsia="仿宋"/>
          <w:sz w:val="32"/>
          <w:szCs w:val="24"/>
        </w:rPr>
      </w:pPr>
      <w:r>
        <w:rPr>
          <w:rFonts w:hint="eastAsia" w:ascii="仿宋" w:hAnsi="仿宋" w:eastAsia="仿宋"/>
          <w:sz w:val="32"/>
          <w:szCs w:val="24"/>
        </w:rPr>
        <w:t>二是绩效评价的要求</w:t>
      </w:r>
    </w:p>
    <w:p w14:paraId="115696FC">
      <w:pPr>
        <w:spacing w:beforeLines="0" w:afterLines="0" w:line="304" w:lineRule="auto"/>
        <w:ind w:firstLine="641"/>
        <w:rPr>
          <w:rFonts w:hint="eastAsia" w:ascii="仿宋" w:hAnsi="仿宋" w:eastAsia="仿宋"/>
          <w:sz w:val="32"/>
          <w:szCs w:val="24"/>
        </w:rPr>
      </w:pPr>
      <w:r>
        <w:rPr>
          <w:rFonts w:hint="eastAsia" w:ascii="仿宋" w:hAnsi="仿宋" w:eastAsia="仿宋"/>
          <w:sz w:val="32"/>
          <w:szCs w:val="24"/>
        </w:rPr>
        <w:t>（1）在数据采集时，采取客观数据，保证各项指标的真实性。</w:t>
      </w:r>
    </w:p>
    <w:p w14:paraId="2B73E79F">
      <w:pPr>
        <w:spacing w:beforeLines="0" w:afterLines="0" w:line="302" w:lineRule="auto"/>
        <w:ind w:firstLine="641"/>
        <w:rPr>
          <w:rFonts w:hint="default" w:eastAsia="Times New Roman"/>
          <w:sz w:val="21"/>
          <w:szCs w:val="24"/>
        </w:rPr>
      </w:pPr>
      <w:r>
        <w:rPr>
          <w:rFonts w:hint="eastAsia" w:ascii="仿宋" w:hAnsi="仿宋" w:eastAsia="仿宋"/>
          <w:sz w:val="32"/>
          <w:szCs w:val="24"/>
        </w:rPr>
        <w:t>（2）保证评价结果的真实性、公正性，提高评价报告的公信力。</w:t>
      </w:r>
      <w:bookmarkStart w:id="0" w:name="page5"/>
      <w:bookmarkEnd w:id="0"/>
    </w:p>
    <w:p w14:paraId="7C0BA8BE">
      <w:pPr>
        <w:spacing w:beforeLines="0" w:afterLines="0" w:line="315" w:lineRule="auto"/>
        <w:ind w:right="160" w:firstLine="641"/>
        <w:rPr>
          <w:rFonts w:hint="eastAsia" w:ascii="仿宋" w:hAnsi="仿宋" w:eastAsia="仿宋"/>
          <w:sz w:val="32"/>
          <w:szCs w:val="24"/>
        </w:rPr>
      </w:pPr>
      <w:r>
        <w:rPr>
          <w:rFonts w:hint="eastAsia" w:ascii="仿宋" w:hAnsi="仿宋" w:eastAsia="仿宋"/>
          <w:sz w:val="32"/>
          <w:szCs w:val="24"/>
        </w:rPr>
        <w:t>（3）绩效评价报告应当简明扼要，除了对绩效评价的 过程、结果描述外，还应指出问题及可能存在的风险，并就共性问题提出可操作性改进建议。</w:t>
      </w:r>
    </w:p>
    <w:p w14:paraId="0592E040">
      <w:pPr>
        <w:spacing w:line="360" w:lineRule="auto"/>
        <w:ind w:firstLine="480" w:firstLineChars="150"/>
        <w:rPr>
          <w:rFonts w:hint="eastAsia" w:ascii="仿宋" w:hAnsi="仿宋" w:eastAsia="仿宋"/>
          <w:sz w:val="32"/>
          <w:szCs w:val="24"/>
        </w:rPr>
      </w:pPr>
      <w:r>
        <w:rPr>
          <w:rFonts w:hint="eastAsia" w:ascii="楷体_GB2312" w:hAnsi="楷体_GB2312" w:eastAsia="楷体_GB2312" w:cs="楷体_GB2312"/>
          <w:b w:val="0"/>
          <w:bCs w:val="0"/>
          <w:sz w:val="32"/>
          <w:szCs w:val="32"/>
        </w:rPr>
        <w:t>（三）建立绩效评价指标体系</w:t>
      </w:r>
    </w:p>
    <w:p w14:paraId="1A8C2A6A">
      <w:pPr>
        <w:spacing w:beforeLines="0" w:afterLines="0" w:line="360" w:lineRule="auto"/>
        <w:ind w:firstLine="640" w:firstLineChars="200"/>
        <w:rPr>
          <w:rFonts w:ascii="楷体" w:hAnsi="楷体" w:eastAsia="楷体" w:cs="楷体_GB2312"/>
          <w:bCs/>
          <w:sz w:val="32"/>
          <w:szCs w:val="32"/>
        </w:rPr>
      </w:pPr>
      <w:r>
        <w:rPr>
          <w:rFonts w:hint="eastAsia" w:ascii="仿宋_GB2312" w:eastAsia="仿宋_GB2312"/>
          <w:sz w:val="32"/>
          <w:szCs w:val="32"/>
        </w:rPr>
        <w:t>总分设定为100分。产出指标40分（包含数量、质量、时效、成本）、预算执行率指标10分、效益指标40分（包含经济效益、社会效益、生态效益、可持续影响）、满意度指标10分。</w:t>
      </w:r>
    </w:p>
    <w:p w14:paraId="2533A2EC">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BB9706B">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40FFCC4">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240" w:afterAutospacing="0" w:line="560" w:lineRule="exact"/>
        <w:ind w:left="0" w:right="0" w:firstLine="640" w:firstLineChars="200"/>
        <w:textAlignment w:val="auto"/>
        <w:rPr>
          <w:rFonts w:hint="eastAsia" w:ascii="仿宋_GB2312" w:hAnsi="仿宋" w:eastAsia="仿宋_GB2312" w:cs="仿宋_GB2312"/>
          <w:kern w:val="2"/>
          <w:sz w:val="32"/>
          <w:szCs w:val="32"/>
          <w:lang w:val="en-US" w:eastAsia="zh-CN" w:bidi="ar"/>
        </w:rPr>
      </w:pPr>
      <w:r>
        <w:rPr>
          <w:rFonts w:hint="default" w:ascii="仿宋_GB2312" w:hAnsi="仿宋_GB2312" w:eastAsia="仿宋_GB2312" w:cs="仿宋_GB2312"/>
          <w:i w:val="0"/>
          <w:iCs w:val="0"/>
          <w:caps w:val="0"/>
          <w:color w:val="0F1115"/>
          <w:spacing w:val="0"/>
          <w:sz w:val="32"/>
          <w:szCs w:val="32"/>
          <w:shd w:val="clear" w:fill="FFFFFF"/>
        </w:rPr>
        <w:t>全年固定资产投资稳步推进，入库新项目7个，上报投资额14088万元。规模以上服务业表现突出，1-11月“租赁和商务服务业”营收增长263.97%，“科学研究和技术服务业”增长30.01%，“文化、体育和娱乐业”增长47.19%，“软件和信息技术服务业”增长18.6%，增速均居全区前列。5家批发企业营收同比增长9.03%，经济保持平稳增长。</w:t>
      </w:r>
    </w:p>
    <w:p w14:paraId="0DB69C03">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7DD54891">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240" w:beforeAutospacing="0" w:after="240" w:afterAutospacing="0" w:line="560" w:lineRule="exact"/>
        <w:ind w:left="0" w:right="0" w:firstLine="643" w:firstLineChars="200"/>
        <w:textAlignment w:val="auto"/>
        <w:rPr>
          <w:rFonts w:hint="default" w:ascii="仿宋_GB2312" w:hAnsi="仿宋_GB2312" w:eastAsia="仿宋_GB2312" w:cs="仿宋_GB2312"/>
          <w:i w:val="0"/>
          <w:iCs w:val="0"/>
          <w:caps w:val="0"/>
          <w:color w:val="0F1115"/>
          <w:spacing w:val="0"/>
          <w:sz w:val="32"/>
          <w:szCs w:val="32"/>
          <w:shd w:val="clear" w:fill="FFFFFF"/>
        </w:rPr>
      </w:pPr>
      <w:r>
        <w:rPr>
          <w:rFonts w:hint="eastAsia" w:ascii="仿宋_GB2312" w:hAnsi="仿宋_GB2312" w:eastAsia="仿宋_GB2312" w:cs="仿宋_GB2312"/>
          <w:b/>
          <w:bCs/>
          <w:i w:val="0"/>
          <w:iCs w:val="0"/>
          <w:caps w:val="0"/>
          <w:color w:val="0F1115"/>
          <w:spacing w:val="0"/>
          <w:sz w:val="32"/>
          <w:szCs w:val="32"/>
          <w:shd w:val="clear" w:fill="FFFFFF"/>
          <w:lang w:eastAsia="zh-CN"/>
        </w:rPr>
        <w:t>一是</w:t>
      </w:r>
      <w:r>
        <w:rPr>
          <w:rFonts w:hint="default" w:ascii="仿宋_GB2312" w:hAnsi="仿宋_GB2312" w:eastAsia="仿宋_GB2312" w:cs="仿宋_GB2312"/>
          <w:b/>
          <w:bCs/>
          <w:i w:val="0"/>
          <w:iCs w:val="0"/>
          <w:caps w:val="0"/>
          <w:color w:val="0F1115"/>
          <w:spacing w:val="0"/>
          <w:sz w:val="32"/>
          <w:szCs w:val="32"/>
          <w:shd w:val="clear" w:fill="FFFFFF"/>
        </w:rPr>
        <w:t>项目建设与招商引资双向发力，发展后劲持续夯实。</w:t>
      </w:r>
      <w:r>
        <w:rPr>
          <w:rFonts w:hint="default" w:ascii="仿宋_GB2312" w:hAnsi="仿宋_GB2312" w:eastAsia="仿宋_GB2312" w:cs="仿宋_GB2312"/>
          <w:i w:val="0"/>
          <w:iCs w:val="0"/>
          <w:caps w:val="0"/>
          <w:color w:val="0F1115"/>
          <w:spacing w:val="0"/>
          <w:sz w:val="32"/>
          <w:szCs w:val="32"/>
          <w:shd w:val="clear" w:fill="FFFFFF"/>
        </w:rPr>
        <w:t>成功引进总投资5000万元的信誉楼超市全国面积最大店落户港悦广场，开业5日营业额即突破1050万元。与建华城市广场京东电器城市旗舰店、北国超市等贯穿形成中山路沿线大品牌集合地，区域商业布局进一步优化</w:t>
      </w:r>
      <w:r>
        <w:rPr>
          <w:rFonts w:hint="eastAsia" w:ascii="仿宋_GB2312" w:hAnsi="仿宋_GB2312" w:eastAsia="仿宋_GB2312" w:cs="仿宋_GB2312"/>
          <w:i w:val="0"/>
          <w:iCs w:val="0"/>
          <w:caps w:val="0"/>
          <w:color w:val="0F1115"/>
          <w:spacing w:val="0"/>
          <w:sz w:val="32"/>
          <w:szCs w:val="32"/>
          <w:shd w:val="clear" w:fill="FFFFFF"/>
          <w:lang w:eastAsia="zh-CN"/>
        </w:rPr>
        <w:t>。</w:t>
      </w:r>
      <w:r>
        <w:rPr>
          <w:rFonts w:hint="default" w:ascii="仿宋_GB2312" w:hAnsi="仿宋_GB2312" w:eastAsia="仿宋_GB2312" w:cs="仿宋_GB2312"/>
          <w:i w:val="0"/>
          <w:iCs w:val="0"/>
          <w:caps w:val="0"/>
          <w:color w:val="0F1115"/>
          <w:spacing w:val="0"/>
          <w:sz w:val="32"/>
          <w:szCs w:val="32"/>
          <w:shd w:val="clear" w:fill="FFFFFF"/>
        </w:rPr>
        <w:t>投资5100万元的石家庄水溪城市休闲中心已建成营业，北宋路五合一市场开工建设，消费载体能级显著提升。</w:t>
      </w:r>
      <w:r>
        <w:rPr>
          <w:rFonts w:hint="eastAsia" w:ascii="仿宋_GB2312" w:hAnsi="仿宋_GB2312" w:eastAsia="仿宋_GB2312" w:cs="仿宋_GB2312"/>
          <w:b/>
          <w:bCs/>
          <w:i w:val="0"/>
          <w:iCs w:val="0"/>
          <w:caps w:val="0"/>
          <w:color w:val="0F1115"/>
          <w:spacing w:val="0"/>
          <w:sz w:val="32"/>
          <w:szCs w:val="32"/>
          <w:shd w:val="clear" w:fill="FFFFFF"/>
          <w:lang w:eastAsia="zh-CN"/>
        </w:rPr>
        <w:t>二是</w:t>
      </w:r>
      <w:r>
        <w:rPr>
          <w:rFonts w:hint="default" w:ascii="仿宋_GB2312" w:hAnsi="仿宋_GB2312" w:eastAsia="仿宋_GB2312" w:cs="仿宋_GB2312"/>
          <w:b/>
          <w:bCs/>
          <w:i w:val="0"/>
          <w:iCs w:val="0"/>
          <w:caps w:val="0"/>
          <w:color w:val="0F1115"/>
          <w:spacing w:val="0"/>
          <w:sz w:val="32"/>
          <w:szCs w:val="32"/>
          <w:shd w:val="clear" w:fill="FFFFFF"/>
        </w:rPr>
        <w:t>民生保障与银发经济协同并进，服务能级持续提升。</w:t>
      </w:r>
      <w:r>
        <w:rPr>
          <w:rFonts w:hint="default" w:ascii="仿宋_GB2312" w:hAnsi="仿宋_GB2312" w:eastAsia="仿宋_GB2312" w:cs="仿宋_GB2312"/>
          <w:i w:val="0"/>
          <w:iCs w:val="0"/>
          <w:caps w:val="0"/>
          <w:color w:val="0F1115"/>
          <w:spacing w:val="0"/>
          <w:sz w:val="32"/>
          <w:szCs w:val="32"/>
          <w:shd w:val="clear" w:fill="FFFFFF"/>
        </w:rPr>
        <w:t>扎实推进普惠托育服务，积极配合市级托育综合服务中心（总投资5209.74万元）建设；创新探索银发经济新业态，支持京州国际银发产业园一期投入运营，引入养老服务中心、社区超市等配套，推动老年友好型社区建设初见成效。</w:t>
      </w:r>
    </w:p>
    <w:p w14:paraId="1B77D849">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10C36510">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7D937E26">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217AC00E">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78CE9888">
      <w:pPr>
        <w:spacing w:line="560" w:lineRule="exact"/>
        <w:ind w:firstLine="640" w:firstLineChars="200"/>
        <w:rPr>
          <w:rFonts w:hint="eastAsia" w:ascii="楷体" w:hAnsi="楷体" w:eastAsia="楷体"/>
          <w:bCs/>
          <w:sz w:val="32"/>
          <w:szCs w:val="32"/>
        </w:rPr>
      </w:pPr>
      <w:r>
        <w:rPr>
          <w:rFonts w:hint="eastAsia" w:ascii="仿宋_GB2312" w:hAnsi="Times New Roman" w:eastAsia="仿宋_GB2312" w:cs="DengXian-Regular"/>
          <w:sz w:val="32"/>
          <w:szCs w:val="32"/>
          <w:shd w:val="clear" w:color="auto" w:fill="auto"/>
          <w:lang w:eastAsia="zh-CN"/>
        </w:rPr>
        <w:t>因受到支出金额的限制，导致资金支出进度缓慢。</w:t>
      </w:r>
    </w:p>
    <w:p w14:paraId="5B8F2AD8">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392F5BCB">
      <w:pPr>
        <w:spacing w:line="580" w:lineRule="exact"/>
        <w:ind w:firstLine="630"/>
        <w:rPr>
          <w:rFonts w:hint="eastAsia" w:ascii="楷体" w:hAnsi="楷体" w:eastAsia="楷体"/>
          <w:bCs/>
          <w:sz w:val="32"/>
          <w:szCs w:val="32"/>
        </w:rPr>
      </w:pPr>
      <w:r>
        <w:rPr>
          <w:rFonts w:hint="eastAsia" w:ascii="仿宋_GB2312" w:hAnsi="Times New Roman" w:eastAsia="仿宋_GB2312" w:cs="DengXian-Regular"/>
          <w:sz w:val="32"/>
          <w:szCs w:val="32"/>
          <w:shd w:val="clear" w:color="auto" w:fill="auto"/>
          <w:lang w:eastAsia="zh-CN"/>
        </w:rPr>
        <w:t>我单位将</w:t>
      </w:r>
      <w:r>
        <w:rPr>
          <w:rFonts w:hint="eastAsia" w:ascii="仿宋_GB2312" w:hAnsi="仿宋_GB2312" w:eastAsia="仿宋_GB2312" w:cs="仿宋_GB2312"/>
          <w:sz w:val="32"/>
          <w:szCs w:val="32"/>
        </w:rPr>
        <w:t>通过优化支出结构、编细编实预算、加快履行政府采购手续、尽快启动项目、及时支付资金、按规定及时拨付资金等多种措施，确保支出进度达标。</w:t>
      </w:r>
    </w:p>
    <w:p w14:paraId="5E05C73D">
      <w:pPr>
        <w:spacing w:line="560" w:lineRule="exact"/>
        <w:rPr>
          <w:rFonts w:ascii="仿宋" w:hAnsi="仿宋" w:eastAsia="仿宋"/>
        </w:rPr>
      </w:pPr>
    </w:p>
    <w:p w14:paraId="75BC2762"/>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华文楷体">
    <w:altName w:val="楷体_GB2312"/>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FF6D66">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7096C65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82777CE"/>
    <w:multiLevelType w:val="singleLevel"/>
    <w:tmpl w:val="F82777CE"/>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220A0D41"/>
    <w:rsid w:val="248C197D"/>
    <w:rsid w:val="25121BB5"/>
    <w:rsid w:val="252959AF"/>
    <w:rsid w:val="277A6671"/>
    <w:rsid w:val="292D35B7"/>
    <w:rsid w:val="33EB6CFF"/>
    <w:rsid w:val="35A12947"/>
    <w:rsid w:val="37387040"/>
    <w:rsid w:val="3B625C0A"/>
    <w:rsid w:val="3CEE1963"/>
    <w:rsid w:val="4C9C27FE"/>
    <w:rsid w:val="512260B4"/>
    <w:rsid w:val="52BD6ACB"/>
    <w:rsid w:val="55537534"/>
    <w:rsid w:val="561A74F1"/>
    <w:rsid w:val="597244E8"/>
    <w:rsid w:val="59AA682C"/>
    <w:rsid w:val="5C813E68"/>
    <w:rsid w:val="5EB71C30"/>
    <w:rsid w:val="66AF0CE5"/>
    <w:rsid w:val="6AC537CF"/>
    <w:rsid w:val="6E5B14A6"/>
    <w:rsid w:val="711B255E"/>
    <w:rsid w:val="72276C94"/>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unhideWhenUsed/>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qFormat/>
    <w:uiPriority w:val="0"/>
    <w:rPr>
      <w:sz w:val="24"/>
    </w:rPr>
  </w:style>
  <w:style w:type="paragraph" w:customStyle="1" w:styleId="7">
    <w:name w:val="正文缩进1"/>
    <w:basedOn w:val="1"/>
    <w:autoRedefine/>
    <w:qFormat/>
    <w:uiPriority w:val="0"/>
    <w:pPr>
      <w:ind w:firstLine="42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573</Words>
  <Characters>590</Characters>
  <Lines>4</Lines>
  <Paragraphs>1</Paragraphs>
  <TotalTime>21</TotalTime>
  <ScaleCrop>false</ScaleCrop>
  <LinksUpToDate>false</LinksUpToDate>
  <CharactersWithSpaces>612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Uranus</cp:lastModifiedBy>
  <cp:lastPrinted>2026-03-17T02:41:00Z</cp:lastPrinted>
  <dcterms:modified xsi:type="dcterms:W3CDTF">2026-05-12T14:48:02Z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4A19074DC8414FE6B62EBFA35238C9D8</vt:lpwstr>
  </property>
  <property fmtid="{D5CDD505-2E9C-101B-9397-08002B2CF9AE}" pid="4" name="KSOTemplateDocerSaveRecord">
    <vt:lpwstr>eyJoZGlkIjoiYjZlZDA4OTYyYzA4OTNlYzU3MDIyM2E0ODdhZGQxODciLCJ1c2VySWQiOiIxMjMwODEzNTY5In0=</vt:lpwstr>
  </property>
</Properties>
</file>