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028729">
      <w:pPr>
        <w:adjustRightInd w:val="0"/>
        <w:snapToGrid w:val="0"/>
        <w:spacing w:line="560" w:lineRule="exact"/>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14:paraId="367B73DF">
      <w:pPr>
        <w:spacing w:line="560" w:lineRule="exact"/>
        <w:jc w:val="center"/>
        <w:rPr>
          <w:rFonts w:ascii="宋体" w:hAnsi="宋体" w:cs="宋体"/>
          <w:b/>
          <w:bCs/>
          <w:sz w:val="44"/>
          <w:szCs w:val="44"/>
        </w:rPr>
      </w:pPr>
    </w:p>
    <w:p w14:paraId="32448625">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石家庄市长安区人民政府建北街道办事处</w:t>
      </w:r>
    </w:p>
    <w:p w14:paraId="660481E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2F409DE">
      <w:pPr>
        <w:spacing w:line="560" w:lineRule="exact"/>
        <w:jc w:val="center"/>
        <w:rPr>
          <w:rFonts w:ascii="华文楷体" w:eastAsia="华文楷体"/>
          <w:sz w:val="32"/>
          <w:szCs w:val="32"/>
        </w:rPr>
      </w:pPr>
    </w:p>
    <w:p w14:paraId="001D6CD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建北街道办事处</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7A68E1C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9C995D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03D53C2">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1．主要职能。</w:t>
      </w:r>
    </w:p>
    <w:p w14:paraId="0EC3E786">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（1）宣传贯彻执行党的路线方针政策和党中央、上级党组织的决议。贯彻执行法律、法规、规章和上级人民代表大会及其常务委员会决议及上级政府的决定、命令，依法管理辖区公共事务。</w:t>
      </w:r>
    </w:p>
    <w:p w14:paraId="7F3D9C40">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2）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14:paraId="23A85DF0">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（3）负责办理上级人大常委会交办的监督、选举以及其他工作，做好人大代表工作，联系选民、反映群众意见和要求。</w:t>
      </w:r>
    </w:p>
    <w:p w14:paraId="7A584206">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（4）加强街道党工委自身建设和基层党组织建设，履行全面从严治党主体责任，建立健全党建联席会议制度，全面推进辖区党的政治建设、思想建设、组织建设、作风建设、纪律建设。</w:t>
      </w:r>
      <w:r>
        <w:rPr>
          <w:rFonts w:ascii="仿宋" w:hAnsi="仿宋" w:eastAsia="仿宋"/>
          <w:sz w:val="32"/>
          <w:szCs w:val="32"/>
        </w:rPr>
        <w:t>把制度建设贯穿其中，组织开展党风廉政建设和反腐败工作。</w:t>
      </w:r>
    </w:p>
    <w:p w14:paraId="1A571DAC">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（5）街道党工委领导群团组织，加强指导和规范，支持和保证群团组织依照国家法律法规以及各自章程履行职责。坚持党管武装的根本原则和制度，协调各方力量，对街道人民武装工作实行统一领导。</w:t>
      </w:r>
    </w:p>
    <w:p w14:paraId="06FA8788">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6）指导居民委员会等基层群众性自治组织建设，健全自治平台。组织动员社区居民、单位和社会力量参与社区治理，整合辖区内社会力量，形成社区共治合力，为社区发展服务。对社区工作者队伍进行教育管理。</w:t>
      </w:r>
    </w:p>
    <w:p w14:paraId="20546A68">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（7）按照管理权限，对街道机关及所属单位干部进行教育、</w:t>
      </w:r>
    </w:p>
    <w:p w14:paraId="40FA271E">
      <w:pPr>
        <w:tabs>
          <w:tab w:val="left" w:pos="6075"/>
        </w:tabs>
        <w:adjustRightInd w:val="0"/>
        <w:spacing w:line="560" w:lineRule="exact"/>
        <w:rPr>
          <w:rFonts w:ascii="仿宋" w:hAnsi="仿宋" w:eastAsia="仿宋"/>
          <w:sz w:val="32"/>
          <w:szCs w:val="32"/>
        </w:rPr>
      </w:pPr>
      <w:r>
        <w:rPr>
          <w:rFonts w:hint="eastAsia" w:ascii="仿宋" w:hAnsi="仿宋" w:eastAsia="仿宋"/>
          <w:sz w:val="32"/>
          <w:szCs w:val="32"/>
        </w:rPr>
        <w:t>培训、选拔、考核和监督，对上级政府职能部门派出机构的工作考核和主要负责同志任免提出意见。</w:t>
      </w:r>
    </w:p>
    <w:p w14:paraId="2D9444C6">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（8）组织维护辖区安全稳定，协调推动社会治安综合治理，做好应急管理、民族宗教工作，承担民兵预备役、征兵、退役军人服务、拥军优属、防范邪教等工作。</w:t>
      </w:r>
    </w:p>
    <w:p w14:paraId="5E6BC4A8">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（9）组织开展群众性文化、体育、科普活动，开展法治宣传和社会公德教育，推动社区公益事业发展。维护老年人、妇女、未成年人、残疾人等合法权益。</w:t>
      </w:r>
    </w:p>
    <w:p w14:paraId="20140C63">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（10）参与辖区设施规划、建设和验收，综合管理、统筹调度和考核督办涉及辖区的公共事务，按照有关规定统筹使用下沉到街道社区的人财物等资源。</w:t>
      </w:r>
    </w:p>
    <w:p w14:paraId="6223FC55">
      <w:pPr>
        <w:tabs>
          <w:tab w:val="left" w:pos="6075"/>
        </w:tabs>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（11）承办上级党委、人大、政府交办的其他事项。</w:t>
      </w:r>
    </w:p>
    <w:p w14:paraId="6DECB646">
      <w:pPr>
        <w:snapToGrid w:val="0"/>
        <w:spacing w:line="520" w:lineRule="exact"/>
        <w:ind w:firstLine="640" w:firstLineChars="200"/>
        <w:rPr>
          <w:rFonts w:ascii="仿宋" w:hAnsi="仿宋" w:eastAsia="仿宋"/>
          <w:sz w:val="32"/>
          <w:szCs w:val="32"/>
        </w:rPr>
      </w:pPr>
    </w:p>
    <w:p w14:paraId="4568531B">
      <w:pPr>
        <w:numPr>
          <w:ilvl w:val="0"/>
          <w:numId w:val="1"/>
        </w:numPr>
        <w:snapToGrid w:val="0"/>
        <w:spacing w:line="520" w:lineRule="exact"/>
        <w:ind w:left="-10" w:leftChars="0" w:firstLine="640" w:firstLineChars="0"/>
        <w:rPr>
          <w:rFonts w:ascii="仿宋" w:hAnsi="仿宋" w:eastAsia="仿宋"/>
          <w:sz w:val="32"/>
          <w:szCs w:val="32"/>
        </w:rPr>
      </w:pPr>
      <w:r>
        <w:rPr>
          <w:rFonts w:hint="eastAsia" w:ascii="仿宋" w:hAnsi="仿宋" w:eastAsia="仿宋"/>
          <w:sz w:val="32"/>
          <w:szCs w:val="32"/>
        </w:rPr>
        <w:t>机构情况，包括当年变动情况及原因。</w:t>
      </w:r>
    </w:p>
    <w:p w14:paraId="33C02D6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从决算编报单位构成看，纳入202</w:t>
      </w:r>
      <w:r>
        <w:rPr>
          <w:rFonts w:hint="eastAsia" w:ascii="仿宋" w:hAnsi="仿宋" w:eastAsia="仿宋"/>
          <w:sz w:val="32"/>
          <w:szCs w:val="32"/>
          <w:lang w:val="en-US" w:eastAsia="zh-CN"/>
        </w:rPr>
        <w:t>5</w:t>
      </w:r>
      <w:r>
        <w:rPr>
          <w:rFonts w:hint="eastAsia" w:ascii="仿宋" w:hAnsi="仿宋" w:eastAsia="仿宋"/>
          <w:sz w:val="32"/>
          <w:szCs w:val="32"/>
        </w:rPr>
        <w:t>年度本部门决算汇编范围的独立核算单位（以下简称“单位”）共1 个，具体情况如下：</w:t>
      </w:r>
    </w:p>
    <w:p w14:paraId="23D66914">
      <w:pPr>
        <w:snapToGrid w:val="0"/>
        <w:spacing w:line="520" w:lineRule="exact"/>
        <w:rPr>
          <w:rFonts w:ascii="仿宋" w:hAnsi="仿宋" w:eastAsia="仿宋"/>
          <w:sz w:val="32"/>
          <w:szCs w:val="32"/>
        </w:rPr>
      </w:pPr>
    </w:p>
    <w:tbl>
      <w:tblPr>
        <w:tblStyle w:val="5"/>
        <w:tblpPr w:leftFromText="180" w:rightFromText="180" w:vertAnchor="text" w:horzAnchor="page" w:tblpX="2154" w:tblpY="42"/>
        <w:tblOverlap w:val="never"/>
        <w:tblW w:w="80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3440"/>
        <w:gridCol w:w="2413"/>
        <w:gridCol w:w="1623"/>
      </w:tblGrid>
      <w:tr w14:paraId="005C2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trPr>
        <w:tc>
          <w:tcPr>
            <w:tcW w:w="562" w:type="dxa"/>
            <w:vAlign w:val="center"/>
          </w:tcPr>
          <w:p w14:paraId="3452BF27">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center"/>
              <w:rPr>
                <w:rFonts w:hint="eastAsia" w:ascii="仿宋" w:hAnsi="仿宋" w:eastAsia="仿宋"/>
                <w:sz w:val="32"/>
                <w:szCs w:val="32"/>
              </w:rPr>
            </w:pPr>
            <w:r>
              <w:rPr>
                <w:rFonts w:hint="eastAsia" w:ascii="仿宋" w:hAnsi="仿宋" w:eastAsia="仿宋"/>
                <w:sz w:val="32"/>
                <w:szCs w:val="32"/>
              </w:rPr>
              <w:t>序号</w:t>
            </w:r>
          </w:p>
        </w:tc>
        <w:tc>
          <w:tcPr>
            <w:tcW w:w="3440" w:type="dxa"/>
            <w:vAlign w:val="center"/>
          </w:tcPr>
          <w:p w14:paraId="26E2A0E3">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center"/>
              <w:rPr>
                <w:rFonts w:hint="eastAsia" w:ascii="仿宋" w:hAnsi="仿宋" w:eastAsia="仿宋"/>
                <w:sz w:val="32"/>
                <w:szCs w:val="32"/>
              </w:rPr>
            </w:pPr>
            <w:r>
              <w:rPr>
                <w:rFonts w:hint="eastAsia" w:ascii="仿宋" w:hAnsi="仿宋" w:eastAsia="仿宋"/>
                <w:sz w:val="32"/>
                <w:szCs w:val="32"/>
              </w:rPr>
              <w:t>单位名称</w:t>
            </w:r>
          </w:p>
        </w:tc>
        <w:tc>
          <w:tcPr>
            <w:tcW w:w="2413" w:type="dxa"/>
            <w:vAlign w:val="center"/>
          </w:tcPr>
          <w:p w14:paraId="147BB90E">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center"/>
              <w:rPr>
                <w:rFonts w:hint="eastAsia" w:ascii="仿宋" w:hAnsi="仿宋" w:eastAsia="仿宋"/>
                <w:sz w:val="32"/>
                <w:szCs w:val="32"/>
              </w:rPr>
            </w:pPr>
            <w:r>
              <w:rPr>
                <w:rFonts w:hint="eastAsia" w:ascii="仿宋" w:hAnsi="仿宋" w:eastAsia="仿宋"/>
                <w:sz w:val="32"/>
                <w:szCs w:val="32"/>
              </w:rPr>
              <w:t>单位基本性质</w:t>
            </w:r>
          </w:p>
        </w:tc>
        <w:tc>
          <w:tcPr>
            <w:tcW w:w="1623" w:type="dxa"/>
            <w:vAlign w:val="center"/>
          </w:tcPr>
          <w:p w14:paraId="75E628C7">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center"/>
              <w:rPr>
                <w:rFonts w:hint="eastAsia" w:ascii="仿宋" w:hAnsi="仿宋" w:eastAsia="仿宋"/>
                <w:sz w:val="32"/>
                <w:szCs w:val="32"/>
              </w:rPr>
            </w:pPr>
            <w:r>
              <w:rPr>
                <w:rFonts w:hint="eastAsia" w:ascii="仿宋" w:hAnsi="仿宋" w:eastAsia="仿宋"/>
                <w:sz w:val="32"/>
                <w:szCs w:val="32"/>
              </w:rPr>
              <w:t>经费形式</w:t>
            </w:r>
          </w:p>
        </w:tc>
      </w:tr>
      <w:tr w14:paraId="4E34E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1" w:hRule="atLeast"/>
        </w:trPr>
        <w:tc>
          <w:tcPr>
            <w:tcW w:w="562" w:type="dxa"/>
          </w:tcPr>
          <w:p w14:paraId="104CB271">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center"/>
              <w:rPr>
                <w:rFonts w:hint="eastAsia" w:ascii="仿宋" w:hAnsi="仿宋" w:eastAsia="仿宋"/>
                <w:sz w:val="32"/>
                <w:szCs w:val="32"/>
              </w:rPr>
            </w:pPr>
            <w:r>
              <w:rPr>
                <w:rFonts w:hint="eastAsia" w:ascii="仿宋" w:hAnsi="仿宋" w:eastAsia="仿宋"/>
                <w:sz w:val="32"/>
                <w:szCs w:val="32"/>
              </w:rPr>
              <w:t>1</w:t>
            </w:r>
          </w:p>
        </w:tc>
        <w:tc>
          <w:tcPr>
            <w:tcW w:w="3440" w:type="dxa"/>
          </w:tcPr>
          <w:p w14:paraId="66D1BE00">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rPr>
                <w:rFonts w:hint="eastAsia" w:ascii="仿宋" w:hAnsi="仿宋" w:eastAsia="仿宋"/>
                <w:sz w:val="32"/>
                <w:szCs w:val="32"/>
              </w:rPr>
            </w:pPr>
            <w:r>
              <w:rPr>
                <w:rFonts w:hint="eastAsia" w:ascii="仿宋" w:hAnsi="仿宋" w:eastAsia="仿宋"/>
                <w:sz w:val="32"/>
                <w:szCs w:val="32"/>
              </w:rPr>
              <w:t>长安区人民政府</w:t>
            </w:r>
            <w:r>
              <w:rPr>
                <w:rFonts w:hint="eastAsia" w:ascii="仿宋" w:hAnsi="仿宋" w:eastAsia="仿宋"/>
                <w:sz w:val="32"/>
                <w:szCs w:val="32"/>
                <w:lang w:eastAsia="zh-CN"/>
              </w:rPr>
              <w:t>建北</w:t>
            </w:r>
            <w:r>
              <w:rPr>
                <w:rFonts w:hint="eastAsia" w:ascii="仿宋" w:hAnsi="仿宋" w:eastAsia="仿宋"/>
                <w:sz w:val="32"/>
                <w:szCs w:val="32"/>
              </w:rPr>
              <w:t>街道办事处</w:t>
            </w:r>
          </w:p>
        </w:tc>
        <w:tc>
          <w:tcPr>
            <w:tcW w:w="2413" w:type="dxa"/>
          </w:tcPr>
          <w:p w14:paraId="4E7E5C04">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center"/>
              <w:rPr>
                <w:rFonts w:hint="eastAsia" w:ascii="仿宋" w:hAnsi="仿宋" w:eastAsia="仿宋"/>
                <w:sz w:val="32"/>
                <w:szCs w:val="32"/>
              </w:rPr>
            </w:pPr>
            <w:r>
              <w:rPr>
                <w:rFonts w:hint="eastAsia" w:ascii="仿宋" w:hAnsi="仿宋" w:eastAsia="仿宋"/>
                <w:sz w:val="32"/>
                <w:szCs w:val="32"/>
              </w:rPr>
              <w:t>行政单位</w:t>
            </w:r>
          </w:p>
        </w:tc>
        <w:tc>
          <w:tcPr>
            <w:tcW w:w="1623" w:type="dxa"/>
          </w:tcPr>
          <w:p w14:paraId="141809AE">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center"/>
              <w:rPr>
                <w:rFonts w:hint="eastAsia" w:ascii="仿宋" w:hAnsi="仿宋" w:eastAsia="仿宋"/>
                <w:sz w:val="32"/>
                <w:szCs w:val="32"/>
              </w:rPr>
            </w:pPr>
            <w:r>
              <w:rPr>
                <w:rFonts w:hint="eastAsia" w:ascii="仿宋" w:hAnsi="仿宋" w:eastAsia="仿宋"/>
                <w:sz w:val="32"/>
                <w:szCs w:val="32"/>
              </w:rPr>
              <w:t>财政拨款</w:t>
            </w:r>
          </w:p>
        </w:tc>
      </w:tr>
      <w:tr w14:paraId="516AF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8038" w:type="dxa"/>
            <w:gridSpan w:val="4"/>
            <w:tcBorders>
              <w:top w:val="single" w:color="auto" w:sz="4" w:space="0"/>
              <w:left w:val="nil"/>
              <w:bottom w:val="nil"/>
              <w:right w:val="nil"/>
            </w:tcBorders>
          </w:tcPr>
          <w:p w14:paraId="7723E37A">
            <w:pPr>
              <w:pBdr>
                <w:top w:val="none" w:color="auto" w:sz="0" w:space="1"/>
                <w:left w:val="none" w:color="auto" w:sz="0" w:space="4"/>
                <w:bottom w:val="none" w:color="auto" w:sz="0" w:space="1"/>
                <w:right w:val="none" w:color="auto" w:sz="0" w:space="4"/>
              </w:pBdr>
              <w:tabs>
                <w:tab w:val="center" w:pos="4153"/>
                <w:tab w:val="right" w:pos="8306"/>
              </w:tabs>
              <w:snapToGrid w:val="0"/>
              <w:spacing w:line="560" w:lineRule="exact"/>
              <w:jc w:val="left"/>
              <w:rPr>
                <w:rFonts w:hint="eastAsia" w:ascii="仿宋" w:hAnsi="仿宋" w:eastAsia="仿宋"/>
                <w:sz w:val="32"/>
                <w:szCs w:val="32"/>
              </w:rPr>
            </w:pPr>
          </w:p>
        </w:tc>
      </w:tr>
    </w:tbl>
    <w:p w14:paraId="76A2F3DD">
      <w:pPr>
        <w:snapToGrid w:val="0"/>
        <w:spacing w:line="520" w:lineRule="exact"/>
        <w:rPr>
          <w:rFonts w:ascii="仿宋" w:hAnsi="仿宋" w:eastAsia="仿宋"/>
          <w:sz w:val="32"/>
          <w:szCs w:val="32"/>
        </w:rPr>
      </w:pPr>
    </w:p>
    <w:p w14:paraId="36C922C4">
      <w:pPr>
        <w:keepNext w:val="0"/>
        <w:keepLines w:val="0"/>
        <w:pageBreakBefore w:val="0"/>
        <w:widowControl w:val="0"/>
        <w:numPr>
          <w:ilvl w:val="0"/>
          <w:numId w:val="1"/>
        </w:numPr>
        <w:kinsoku/>
        <w:wordWrap/>
        <w:overflowPunct/>
        <w:topLinePunct w:val="0"/>
        <w:autoSpaceDE/>
        <w:autoSpaceDN/>
        <w:bidi w:val="0"/>
        <w:snapToGrid w:val="0"/>
        <w:spacing w:line="560" w:lineRule="exact"/>
        <w:ind w:left="0" w:leftChars="0" w:firstLine="640" w:firstLineChars="200"/>
        <w:textAlignment w:val="auto"/>
        <w:rPr>
          <w:rFonts w:ascii="仿宋" w:hAnsi="仿宋" w:eastAsia="仿宋"/>
          <w:sz w:val="32"/>
          <w:szCs w:val="32"/>
        </w:rPr>
      </w:pPr>
      <w:r>
        <w:rPr>
          <w:rFonts w:hint="eastAsia" w:ascii="仿宋" w:hAnsi="仿宋" w:eastAsia="仿宋"/>
          <w:sz w:val="32"/>
          <w:szCs w:val="32"/>
        </w:rPr>
        <w:t>人员情况，包括当年变动情况及原因。</w:t>
      </w:r>
    </w:p>
    <w:p w14:paraId="6045031F">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left"/>
        <w:textAlignment w:val="auto"/>
        <w:rPr>
          <w:rFonts w:ascii="仿宋" w:hAnsi="仿宋" w:eastAsia="仿宋"/>
          <w:sz w:val="32"/>
          <w:szCs w:val="32"/>
        </w:rPr>
      </w:pPr>
      <w:r>
        <w:rPr>
          <w:rFonts w:hint="eastAsia" w:ascii="仿宋_GB2312" w:hAnsi="仿宋" w:eastAsia="仿宋_GB2312"/>
          <w:sz w:val="32"/>
          <w:szCs w:val="32"/>
          <w:lang w:val="en-US" w:eastAsia="zh-CN"/>
        </w:rPr>
        <w:t>2025年，</w:t>
      </w:r>
      <w:r>
        <w:rPr>
          <w:rFonts w:hint="eastAsia" w:ascii="仿宋_GB2312" w:hAnsi="仿宋" w:eastAsia="仿宋_GB2312"/>
          <w:color w:val="auto"/>
          <w:sz w:val="32"/>
          <w:szCs w:val="32"/>
          <w:lang w:val="en-US" w:eastAsia="zh-CN"/>
        </w:rPr>
        <w:t>我单位共计171人，其中在职127人，退休44人。行政编制人员22人，事业人员35人。变</w:t>
      </w:r>
      <w:r>
        <w:rPr>
          <w:rFonts w:hint="eastAsia" w:ascii="仿宋_GB2312" w:hAnsi="仿宋" w:eastAsia="仿宋_GB2312"/>
          <w:sz w:val="32"/>
          <w:szCs w:val="32"/>
          <w:lang w:val="en-US" w:eastAsia="zh-CN"/>
        </w:rPr>
        <w:t>动原因主要为今年进行了人员招录和调动。</w:t>
      </w:r>
    </w:p>
    <w:p w14:paraId="243A12A9">
      <w:pPr>
        <w:numPr>
          <w:ilvl w:val="0"/>
          <w:numId w:val="2"/>
        </w:numPr>
        <w:adjustRightInd w:val="0"/>
        <w:snapToGrid w:val="0"/>
        <w:spacing w:line="560" w:lineRule="exact"/>
        <w:ind w:left="-10" w:leftChars="0" w:firstLine="640" w:firstLineChars="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9B034D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楷体" w:hAnsi="楷体" w:eastAsia="楷体" w:cs="楷体_GB2312"/>
          <w:bCs/>
          <w:color w:val="auto"/>
          <w:sz w:val="32"/>
          <w:szCs w:val="32"/>
          <w:lang w:val="en-US"/>
        </w:rPr>
      </w:pPr>
      <w:r>
        <w:rPr>
          <w:rFonts w:hint="eastAsia" w:ascii="仿宋" w:hAnsi="仿宋" w:eastAsia="仿宋" w:cs="仿宋"/>
          <w:color w:val="auto"/>
          <w:sz w:val="32"/>
          <w:szCs w:val="32"/>
          <w:lang w:eastAsia="zh-CN"/>
        </w:rPr>
        <w:t>建北办事处</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支出执行</w:t>
      </w:r>
      <w:r>
        <w:rPr>
          <w:rFonts w:hint="eastAsia" w:ascii="仿宋" w:hAnsi="仿宋" w:eastAsia="仿宋" w:cs="仿宋"/>
          <w:color w:val="auto"/>
          <w:sz w:val="32"/>
          <w:szCs w:val="32"/>
          <w:lang w:val="en-US" w:eastAsia="zh-CN"/>
        </w:rPr>
        <w:t>2311.93</w:t>
      </w:r>
      <w:r>
        <w:rPr>
          <w:rFonts w:hint="eastAsia" w:ascii="仿宋" w:hAnsi="仿宋" w:eastAsia="仿宋" w:cs="仿宋"/>
          <w:color w:val="auto"/>
          <w:sz w:val="32"/>
          <w:szCs w:val="32"/>
        </w:rPr>
        <w:t>万元，其中：一般公共预算</w:t>
      </w:r>
      <w:r>
        <w:rPr>
          <w:rFonts w:hint="eastAsia" w:ascii="仿宋" w:hAnsi="仿宋" w:eastAsia="仿宋" w:cs="仿宋"/>
          <w:color w:val="auto"/>
          <w:sz w:val="32"/>
          <w:szCs w:val="32"/>
          <w:lang w:eastAsia="zh-CN"/>
        </w:rPr>
        <w:t>执行</w:t>
      </w:r>
      <w:r>
        <w:rPr>
          <w:rFonts w:hint="eastAsia" w:ascii="仿宋" w:hAnsi="仿宋" w:eastAsia="仿宋" w:cs="仿宋"/>
          <w:color w:val="auto"/>
          <w:sz w:val="32"/>
          <w:szCs w:val="32"/>
          <w:lang w:val="en-US" w:eastAsia="zh-CN"/>
        </w:rPr>
        <w:t>2274.93</w:t>
      </w:r>
      <w:r>
        <w:rPr>
          <w:rFonts w:hint="eastAsia" w:ascii="仿宋" w:hAnsi="仿宋" w:eastAsia="仿宋" w:cs="仿宋"/>
          <w:color w:val="auto"/>
          <w:sz w:val="32"/>
          <w:szCs w:val="32"/>
        </w:rPr>
        <w:t>万元，基金预算收入</w:t>
      </w:r>
      <w:r>
        <w:rPr>
          <w:rFonts w:hint="eastAsia" w:ascii="仿宋" w:hAnsi="仿宋" w:eastAsia="仿宋" w:cs="仿宋"/>
          <w:color w:val="auto"/>
          <w:sz w:val="32"/>
          <w:szCs w:val="32"/>
          <w:lang w:val="en-US" w:eastAsia="zh-CN"/>
        </w:rPr>
        <w:t>37</w:t>
      </w:r>
      <w:r>
        <w:rPr>
          <w:rFonts w:hint="eastAsia" w:ascii="仿宋" w:hAnsi="仿宋" w:eastAsia="仿宋" w:cs="仿宋"/>
          <w:color w:val="auto"/>
          <w:sz w:val="32"/>
          <w:szCs w:val="32"/>
        </w:rPr>
        <w:t>万元，财政专户核拨收入0万元，其他来源收入0万元。202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年部门支出</w:t>
      </w:r>
      <w:r>
        <w:rPr>
          <w:rFonts w:hint="eastAsia" w:ascii="仿宋" w:hAnsi="仿宋" w:eastAsia="仿宋" w:cs="仿宋"/>
          <w:color w:val="auto"/>
          <w:sz w:val="32"/>
          <w:szCs w:val="32"/>
          <w:lang w:eastAsia="zh-CN"/>
        </w:rPr>
        <w:t>执行</w:t>
      </w:r>
      <w:r>
        <w:rPr>
          <w:rFonts w:hint="eastAsia" w:ascii="仿宋" w:hAnsi="仿宋" w:eastAsia="仿宋" w:cs="仿宋"/>
          <w:color w:val="auto"/>
          <w:sz w:val="32"/>
          <w:szCs w:val="32"/>
        </w:rPr>
        <w:t>为</w:t>
      </w:r>
      <w:r>
        <w:rPr>
          <w:rFonts w:hint="eastAsia" w:ascii="仿宋" w:hAnsi="仿宋" w:eastAsia="仿宋" w:cs="仿宋"/>
          <w:color w:val="auto"/>
          <w:sz w:val="32"/>
          <w:szCs w:val="32"/>
          <w:lang w:val="en-US" w:eastAsia="zh-CN"/>
        </w:rPr>
        <w:t>2311.93</w:t>
      </w:r>
      <w:r>
        <w:rPr>
          <w:rFonts w:hint="eastAsia" w:ascii="仿宋" w:hAnsi="仿宋" w:eastAsia="仿宋" w:cs="仿宋"/>
          <w:color w:val="auto"/>
          <w:sz w:val="32"/>
          <w:szCs w:val="32"/>
        </w:rPr>
        <w:t>万元，其中基本支出</w:t>
      </w:r>
      <w:r>
        <w:rPr>
          <w:rFonts w:hint="eastAsia" w:ascii="仿宋" w:hAnsi="仿宋" w:eastAsia="仿宋" w:cs="仿宋"/>
          <w:color w:val="auto"/>
          <w:sz w:val="32"/>
          <w:szCs w:val="32"/>
          <w:lang w:val="en-US" w:eastAsia="zh-CN"/>
        </w:rPr>
        <w:t>1815.56</w:t>
      </w:r>
      <w:r>
        <w:rPr>
          <w:rFonts w:hint="eastAsia" w:ascii="仿宋" w:hAnsi="仿宋" w:eastAsia="仿宋" w:cs="仿宋"/>
          <w:color w:val="auto"/>
          <w:sz w:val="32"/>
          <w:szCs w:val="32"/>
        </w:rPr>
        <w:t>万元，包括人员经费</w:t>
      </w:r>
      <w:r>
        <w:rPr>
          <w:rFonts w:hint="eastAsia" w:ascii="仿宋" w:hAnsi="仿宋" w:eastAsia="仿宋" w:cs="仿宋"/>
          <w:color w:val="auto"/>
          <w:sz w:val="32"/>
          <w:szCs w:val="32"/>
          <w:lang w:val="en-US" w:eastAsia="zh-CN"/>
        </w:rPr>
        <w:t>1661.52</w:t>
      </w:r>
      <w:r>
        <w:rPr>
          <w:rFonts w:hint="eastAsia" w:ascii="仿宋" w:hAnsi="仿宋" w:eastAsia="仿宋" w:cs="仿宋"/>
          <w:color w:val="auto"/>
          <w:sz w:val="32"/>
          <w:szCs w:val="32"/>
        </w:rPr>
        <w:t>万元和日常公用经费</w:t>
      </w:r>
      <w:r>
        <w:rPr>
          <w:rFonts w:hint="eastAsia" w:ascii="仿宋" w:hAnsi="仿宋" w:eastAsia="仿宋" w:cs="仿宋"/>
          <w:color w:val="auto"/>
          <w:sz w:val="32"/>
          <w:szCs w:val="32"/>
          <w:lang w:val="en-US" w:eastAsia="zh-CN"/>
        </w:rPr>
        <w:t>154.04</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710.18</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。年支出执行比上年减少</w:t>
      </w:r>
      <w:r>
        <w:rPr>
          <w:rFonts w:hint="eastAsia" w:ascii="仿宋" w:hAnsi="仿宋" w:eastAsia="仿宋" w:cs="仿宋"/>
          <w:color w:val="auto"/>
          <w:sz w:val="32"/>
          <w:szCs w:val="32"/>
          <w:lang w:val="en-US" w:eastAsia="zh-CN"/>
        </w:rPr>
        <w:t>2%，主要原因节省预算开支。</w:t>
      </w:r>
    </w:p>
    <w:p w14:paraId="4C428062">
      <w:pPr>
        <w:numPr>
          <w:ilvl w:val="0"/>
          <w:numId w:val="2"/>
        </w:numPr>
        <w:adjustRightInd w:val="0"/>
        <w:snapToGrid w:val="0"/>
        <w:spacing w:line="560" w:lineRule="exact"/>
        <w:ind w:left="-10" w:leftChars="0" w:firstLine="640" w:firstLineChars="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209DA87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 w:hAnsi="仿宋" w:eastAsia="仿宋" w:cs="仿宋"/>
          <w:bCs/>
          <w:sz w:val="32"/>
          <w:szCs w:val="32"/>
        </w:rPr>
      </w:pPr>
      <w:r>
        <w:rPr>
          <w:rFonts w:hint="eastAsia" w:ascii="仿宋" w:hAnsi="仿宋" w:eastAsia="仿宋" w:cs="仿宋"/>
          <w:sz w:val="32"/>
          <w:szCs w:val="32"/>
          <w:lang w:eastAsia="zh-CN"/>
        </w:rPr>
        <w:t>绩效目标：</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年我街道紧扣人民对美好生活的需要，着力解决发展不平衡不充分问题，毫不放松抓好常态化疫情防控、多措并举推动经济社会发展、全力以赴做好安全环保维稳工作、持续深化干部队伍作风建设，</w:t>
      </w:r>
      <w:bookmarkStart w:id="2" w:name="_GoBack"/>
      <w:bookmarkEnd w:id="2"/>
      <w:r>
        <w:rPr>
          <w:rFonts w:hint="eastAsia" w:ascii="仿宋" w:hAnsi="仿宋" w:eastAsia="仿宋" w:cs="仿宋"/>
          <w:sz w:val="32"/>
          <w:szCs w:val="32"/>
        </w:rPr>
        <w:t>推动街道各项工作再上新台阶。牢固树立为民意识，突出为民发展，办好为民实事，大力发展社会各项事业，真正让群众得到实惠，进一步提高人民获得感、幸福感、安全感，为建设经济强区、美丽长安做出新贡献。</w:t>
      </w:r>
    </w:p>
    <w:p w14:paraId="1B2FB9A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不折不扣落实巡视整改工作，彻底整改；街道党政班子成员工作重心下沉，每周到分包社区进行现场办公，接待群众来访；深入开展“双问计”活动了解实情、寻找智慧，对提出的意见建议对照自省、虚心接纳，对反映的困难或诉求靠前服务、积极解决；街道社区作风建设进一步加强，全体工作人员对标对表先进单位，以争先进位的劲头和勇气，持之以恒做好各项工作；坚持党工委书记作为第一责任人主抓全面从严治党工作，党工委每2个月召开1次专题会议，一年专题会议不少于5次；严格执行“三会一课”、民主生活会等制度，党小组会、支部委员会每月一次，党员大会、党课每季度一次，民主生活会按上级要求召开，推动党支部组织生活正常化、规范化；严肃党内政治生活。</w:t>
      </w:r>
    </w:p>
    <w:p w14:paraId="091D9FB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A7491F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BA5B59E">
      <w:pPr>
        <w:spacing w:line="560" w:lineRule="exact"/>
        <w:rPr>
          <w:rFonts w:hint="eastAsia" w:ascii="仿宋" w:hAnsi="仿宋" w:eastAsia="仿宋"/>
          <w:sz w:val="32"/>
          <w:szCs w:val="32"/>
        </w:rPr>
      </w:pPr>
      <w:r>
        <w:rPr>
          <w:rFonts w:hint="eastAsia" w:ascii="仿宋" w:hAnsi="仿宋" w:eastAsia="仿宋"/>
          <w:sz w:val="32"/>
          <w:szCs w:val="32"/>
        </w:rPr>
        <w:t xml:space="preserve">     一是项目评价资料收集评价过程。根据工作要求，全面收集评价所需基础信息资料，包括基本概况、财政资金的使用情况等。</w:t>
      </w:r>
    </w:p>
    <w:p w14:paraId="4E23F98F">
      <w:pPr>
        <w:spacing w:line="560" w:lineRule="exact"/>
        <w:rPr>
          <w:rFonts w:hint="eastAsia" w:ascii="仿宋" w:hAnsi="仿宋" w:eastAsia="仿宋"/>
          <w:sz w:val="32"/>
          <w:szCs w:val="32"/>
        </w:rPr>
      </w:pPr>
    </w:p>
    <w:p w14:paraId="171FD87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二是项目完工后，依据所收集的资料，对评价对象的绩效情况进行分析和综合评价，形成重点项目评价报告</w:t>
      </w:r>
    </w:p>
    <w:p w14:paraId="235E5A01">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840FF38">
      <w:pPr>
        <w:spacing w:line="0" w:lineRule="atLeast"/>
        <w:ind w:left="142" w:firstLine="566" w:firstLineChars="177"/>
        <w:rPr>
          <w:rFonts w:ascii="仿宋" w:hAnsi="仿宋" w:eastAsia="仿宋"/>
          <w:sz w:val="32"/>
        </w:rPr>
      </w:pPr>
      <w:r>
        <w:rPr>
          <w:rFonts w:hint="eastAsia" w:ascii="仿宋" w:hAnsi="仿宋" w:eastAsia="仿宋"/>
          <w:sz w:val="32"/>
          <w:lang w:val="en-US" w:eastAsia="zh-CN"/>
        </w:rPr>
        <w:t>1</w:t>
      </w:r>
      <w:r>
        <w:rPr>
          <w:rFonts w:hint="eastAsia" w:ascii="仿宋" w:hAnsi="仿宋" w:eastAsia="仿宋"/>
          <w:sz w:val="32"/>
          <w:lang w:eastAsia="zh-CN"/>
        </w:rPr>
        <w:t>、</w:t>
      </w:r>
      <w:r>
        <w:rPr>
          <w:rFonts w:ascii="仿宋" w:hAnsi="仿宋" w:eastAsia="仿宋"/>
          <w:sz w:val="32"/>
        </w:rPr>
        <w:t>绩效评价的原则</w:t>
      </w:r>
    </w:p>
    <w:p w14:paraId="1984DAD7">
      <w:pPr>
        <w:spacing w:line="316" w:lineRule="auto"/>
        <w:ind w:firstLine="641"/>
        <w:jc w:val="both"/>
        <w:rPr>
          <w:rFonts w:ascii="仿宋" w:hAnsi="仿宋" w:eastAsia="仿宋"/>
          <w:sz w:val="32"/>
        </w:rPr>
      </w:pPr>
      <w:r>
        <w:rPr>
          <w:rFonts w:ascii="仿宋" w:hAnsi="仿宋" w:eastAsia="仿宋"/>
          <w:sz w:val="32"/>
        </w:rPr>
        <w:t>（1）科学规范。绩效评价注重财政支出的经济性、效率性和有效性，严格执行规定的程序，采用定量与定性分析 相结合的方法。</w:t>
      </w:r>
    </w:p>
    <w:p w14:paraId="7A8F4CDD">
      <w:pPr>
        <w:spacing w:line="304" w:lineRule="auto"/>
        <w:ind w:firstLine="641"/>
        <w:jc w:val="both"/>
        <w:rPr>
          <w:rFonts w:ascii="仿宋" w:hAnsi="仿宋" w:eastAsia="仿宋"/>
          <w:sz w:val="32"/>
        </w:rPr>
      </w:pPr>
      <w:r>
        <w:rPr>
          <w:rFonts w:ascii="仿宋" w:hAnsi="仿宋" w:eastAsia="仿宋"/>
          <w:sz w:val="32"/>
        </w:rPr>
        <w:t>（2）公正公开。绩效评价客观、公正，标准统一、资料可靠，依法公开。</w:t>
      </w:r>
    </w:p>
    <w:p w14:paraId="225A0C2B">
      <w:pPr>
        <w:spacing w:line="316" w:lineRule="auto"/>
        <w:ind w:firstLine="641"/>
        <w:jc w:val="both"/>
        <w:rPr>
          <w:rFonts w:ascii="仿宋" w:hAnsi="仿宋" w:eastAsia="仿宋"/>
          <w:sz w:val="32"/>
        </w:rPr>
      </w:pPr>
      <w:r>
        <w:rPr>
          <w:rFonts w:ascii="仿宋" w:hAnsi="仿宋" w:eastAsia="仿宋"/>
          <w:sz w:val="32"/>
        </w:rPr>
        <w:t>（3）绩效相关。绩效评价针对具体支出及其产出绩效 进行评价，结果清晰反映支出和产出绩效之间的紧密对应关 系。</w:t>
      </w:r>
    </w:p>
    <w:p w14:paraId="3D883F23">
      <w:pPr>
        <w:spacing w:line="0" w:lineRule="atLeast"/>
        <w:ind w:left="640"/>
        <w:rPr>
          <w:rFonts w:ascii="仿宋" w:hAnsi="仿宋" w:eastAsia="仿宋"/>
          <w:sz w:val="32"/>
        </w:rPr>
      </w:pPr>
      <w:r>
        <w:rPr>
          <w:rFonts w:hint="eastAsia" w:ascii="仿宋" w:hAnsi="仿宋" w:eastAsia="仿宋"/>
          <w:sz w:val="32"/>
          <w:lang w:val="en-US" w:eastAsia="zh-CN"/>
        </w:rPr>
        <w:t>2</w:t>
      </w:r>
      <w:r>
        <w:rPr>
          <w:rFonts w:hint="eastAsia" w:ascii="仿宋" w:hAnsi="仿宋" w:eastAsia="仿宋"/>
          <w:sz w:val="32"/>
          <w:lang w:eastAsia="zh-CN"/>
        </w:rPr>
        <w:t>、</w:t>
      </w:r>
      <w:r>
        <w:rPr>
          <w:rFonts w:ascii="仿宋" w:hAnsi="仿宋" w:eastAsia="仿宋"/>
          <w:sz w:val="32"/>
        </w:rPr>
        <w:t>绩效评价的要求</w:t>
      </w:r>
    </w:p>
    <w:p w14:paraId="4542BCE6">
      <w:pPr>
        <w:spacing w:line="304" w:lineRule="auto"/>
        <w:ind w:firstLine="640" w:firstLineChars="200"/>
        <w:jc w:val="both"/>
        <w:rPr>
          <w:rFonts w:ascii="仿宋" w:hAnsi="仿宋" w:eastAsia="仿宋"/>
          <w:sz w:val="32"/>
        </w:rPr>
      </w:pPr>
      <w:r>
        <w:rPr>
          <w:rFonts w:ascii="仿宋" w:hAnsi="仿宋" w:eastAsia="仿宋"/>
          <w:sz w:val="32"/>
        </w:rPr>
        <w:t>（1）在数据采集时，采取客观数据，保证各项指标的真实性。</w:t>
      </w:r>
    </w:p>
    <w:p w14:paraId="73F74D3C">
      <w:pPr>
        <w:spacing w:line="302" w:lineRule="auto"/>
        <w:ind w:firstLine="641"/>
        <w:jc w:val="both"/>
        <w:rPr>
          <w:rFonts w:ascii="Times New Roman" w:hAnsi="Times New Roman" w:eastAsia="Times New Roman"/>
        </w:rPr>
      </w:pPr>
      <w:r>
        <w:rPr>
          <w:rFonts w:ascii="仿宋" w:hAnsi="仿宋" w:eastAsia="仿宋"/>
          <w:sz w:val="32"/>
        </w:rPr>
        <w:t>（2）保证评价结果的真实性、公正性，提高评价报告的公信力。</w:t>
      </w:r>
      <w:bookmarkStart w:id="0" w:name="page5"/>
      <w:bookmarkEnd w:id="0"/>
    </w:p>
    <w:p w14:paraId="5B9AD735">
      <w:pPr>
        <w:spacing w:line="315" w:lineRule="auto"/>
        <w:ind w:right="160" w:firstLine="641"/>
        <w:jc w:val="both"/>
        <w:rPr>
          <w:rFonts w:ascii="仿宋" w:hAnsi="仿宋" w:eastAsia="仿宋"/>
          <w:sz w:val="32"/>
        </w:rPr>
      </w:pPr>
      <w:r>
        <w:rPr>
          <w:rFonts w:ascii="仿宋" w:hAnsi="仿宋" w:eastAsia="仿宋"/>
          <w:sz w:val="32"/>
        </w:rPr>
        <w:t>（3）绩效评价报告应当简明扼要，除了对绩效评价的 过程、结果描述外，还应指出问题及可能存在的风险，并就共性问题提出可操作性改进建议。</w:t>
      </w:r>
    </w:p>
    <w:p w14:paraId="11615467">
      <w:pPr>
        <w:spacing w:line="315" w:lineRule="auto"/>
        <w:ind w:right="160" w:firstLine="641"/>
        <w:jc w:val="both"/>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评价实施过程。</w:t>
      </w:r>
    </w:p>
    <w:p w14:paraId="79FB11B4">
      <w:pPr>
        <w:spacing w:line="315" w:lineRule="auto"/>
        <w:ind w:right="160" w:firstLine="641"/>
        <w:jc w:val="both"/>
        <w:rPr>
          <w:rFonts w:ascii="楷体" w:hAnsi="楷体" w:eastAsia="楷体" w:cs="楷体_GB2312"/>
          <w:bCs/>
          <w:sz w:val="32"/>
          <w:szCs w:val="32"/>
        </w:rPr>
      </w:pPr>
      <w:r>
        <w:rPr>
          <w:rFonts w:hint="eastAsia" w:ascii="仿宋" w:hAnsi="仿宋" w:eastAsia="仿宋" w:cs="仿宋"/>
          <w:b w:val="0"/>
          <w:bCs/>
          <w:sz w:val="32"/>
          <w:szCs w:val="32"/>
        </w:rPr>
        <w:t>我单位着重从数量、质量、时效、</w:t>
      </w:r>
      <w:r>
        <w:rPr>
          <w:rFonts w:hint="eastAsia" w:ascii="仿宋" w:hAnsi="仿宋" w:eastAsia="仿宋" w:cs="仿宋"/>
          <w:b w:val="0"/>
          <w:bCs/>
          <w:sz w:val="32"/>
          <w:szCs w:val="32"/>
          <w:lang w:eastAsia="zh-CN"/>
        </w:rPr>
        <w:t>成本、预算执行率、效益指标、</w:t>
      </w:r>
      <w:r>
        <w:rPr>
          <w:rFonts w:hint="eastAsia" w:ascii="仿宋" w:hAnsi="仿宋" w:eastAsia="仿宋" w:cs="仿宋"/>
          <w:b w:val="0"/>
          <w:bCs/>
          <w:sz w:val="32"/>
          <w:szCs w:val="32"/>
        </w:rPr>
        <w:t>满意度等指标对项目支出进行绩效评价</w:t>
      </w:r>
      <w:r>
        <w:rPr>
          <w:rFonts w:hint="eastAsia" w:ascii="仿宋" w:hAnsi="仿宋" w:eastAsia="仿宋" w:cs="仿宋"/>
          <w:b w:val="0"/>
          <w:bCs/>
          <w:sz w:val="32"/>
          <w:szCs w:val="32"/>
          <w:lang w:eastAsia="zh-CN"/>
        </w:rPr>
        <w:t>。</w:t>
      </w:r>
    </w:p>
    <w:p w14:paraId="693A520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DD8CDDD">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tbl>
      <w:tblPr>
        <w:tblStyle w:val="5"/>
        <w:tblW w:w="928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62"/>
        <w:gridCol w:w="1327"/>
      </w:tblGrid>
      <w:tr w14:paraId="3E70D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962" w:type="dxa"/>
            <w:tcBorders>
              <w:top w:val="single" w:color="FFFFFF" w:sz="6" w:space="0"/>
              <w:left w:val="single" w:color="FFFFFF" w:sz="6" w:space="0"/>
              <w:bottom w:val="single" w:color="000000" w:sz="6" w:space="0"/>
              <w:right w:val="single" w:color="FFFFFF" w:sz="6" w:space="0"/>
            </w:tcBorders>
            <w:vAlign w:val="center"/>
          </w:tcPr>
          <w:p w14:paraId="3E1C7D84">
            <w:pPr>
              <w:pStyle w:val="7"/>
              <w:rPr>
                <w:rFonts w:hint="eastAsia" w:cs="Times New Roman"/>
              </w:rPr>
            </w:pPr>
            <w:r>
              <w:rPr>
                <w:rFonts w:hint="eastAsia" w:cs="Times New Roman"/>
                <w:lang w:val="en-US" w:eastAsia="zh-CN"/>
              </w:rPr>
              <w:t>573</w:t>
            </w:r>
            <w:r>
              <w:rPr>
                <w:rFonts w:cs="Times New Roman"/>
              </w:rPr>
              <w:t>001石家庄市长安区人民政府</w:t>
            </w:r>
            <w:r>
              <w:rPr>
                <w:rFonts w:hint="eastAsia" w:cs="Times New Roman"/>
                <w:lang w:eastAsia="zh-CN"/>
              </w:rPr>
              <w:t>建北</w:t>
            </w:r>
            <w:r>
              <w:rPr>
                <w:rFonts w:cs="Times New Roman"/>
              </w:rPr>
              <w:t>街道办事处本级</w:t>
            </w:r>
          </w:p>
        </w:tc>
        <w:tc>
          <w:tcPr>
            <w:tcW w:w="1327" w:type="dxa"/>
            <w:tcBorders>
              <w:top w:val="single" w:color="FFFFFF" w:sz="6" w:space="0"/>
              <w:left w:val="nil"/>
              <w:bottom w:val="single" w:color="000000" w:sz="6" w:space="0"/>
              <w:right w:val="single" w:color="FFFFFF" w:sz="6" w:space="0"/>
            </w:tcBorders>
            <w:vAlign w:val="center"/>
          </w:tcPr>
          <w:p w14:paraId="73E9D61A">
            <w:pPr>
              <w:pStyle w:val="8"/>
              <w:rPr>
                <w:rFonts w:hint="eastAsia" w:cs="Times New Roman"/>
              </w:rPr>
            </w:pPr>
            <w:r>
              <w:rPr>
                <w:rFonts w:cs="Times New Roman"/>
              </w:rPr>
              <w:t>单位：万元</w:t>
            </w:r>
          </w:p>
        </w:tc>
      </w:tr>
    </w:tbl>
    <w:p w14:paraId="1A54A423">
      <w:pPr>
        <w:spacing w:line="2" w:lineRule="exact"/>
        <w:jc w:val="center"/>
        <w:rPr>
          <w:rFonts w:ascii="Times New Roman" w:hAnsi="Times New Roman" w:cs="Times New Roman"/>
          <w:szCs w:val="21"/>
        </w:rPr>
      </w:pPr>
      <w:r>
        <w:rPr>
          <w:rFonts w:ascii="方正书宋_GBK" w:hAnsi="方正书宋_GBK"/>
          <w:color w:val="000000"/>
        </w:rPr>
        <w:t xml:space="preserve"> </w:t>
      </w:r>
    </w:p>
    <w:tbl>
      <w:tblPr>
        <w:tblStyle w:val="5"/>
        <w:tblW w:w="99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3"/>
        <w:gridCol w:w="981"/>
        <w:gridCol w:w="1315"/>
        <w:gridCol w:w="2019"/>
        <w:gridCol w:w="704"/>
        <w:gridCol w:w="693"/>
        <w:gridCol w:w="992"/>
        <w:gridCol w:w="1338"/>
        <w:gridCol w:w="866"/>
      </w:tblGrid>
      <w:tr w14:paraId="05134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tcBorders>
              <w:top w:val="single" w:color="000000" w:sz="6" w:space="0"/>
              <w:left w:val="single" w:color="000000" w:sz="6" w:space="0"/>
              <w:bottom w:val="single" w:color="000000" w:sz="6" w:space="0"/>
              <w:right w:val="single" w:color="000000" w:sz="6" w:space="0"/>
            </w:tcBorders>
            <w:vAlign w:val="center"/>
          </w:tcPr>
          <w:p w14:paraId="63BCB41A">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cs="Times New Roman"/>
                <w:b/>
                <w:bCs/>
              </w:rPr>
              <w:t>绩效目标</w:t>
            </w:r>
          </w:p>
        </w:tc>
        <w:tc>
          <w:tcPr>
            <w:tcW w:w="8908" w:type="dxa"/>
            <w:gridSpan w:val="8"/>
            <w:tcBorders>
              <w:top w:val="single" w:color="000000" w:sz="6" w:space="0"/>
              <w:left w:val="nil"/>
              <w:bottom w:val="single" w:color="000000" w:sz="6" w:space="0"/>
              <w:right w:val="single" w:color="000000" w:sz="6" w:space="0"/>
            </w:tcBorders>
            <w:vAlign w:val="center"/>
          </w:tcPr>
          <w:p w14:paraId="2EF846A6">
            <w:pPr>
              <w:pStyle w:val="10"/>
              <w:rPr>
                <w:rFonts w:hint="eastAsia" w:cs="Times New Roman"/>
              </w:rPr>
            </w:pPr>
            <w:r>
              <w:rPr>
                <w:rFonts w:cs="Times New Roman"/>
              </w:rPr>
              <w:t>1.处理各类违法违规建筑，信访维稳，安抚受灾群众</w:t>
            </w:r>
          </w:p>
          <w:p w14:paraId="51CF2CA6">
            <w:pPr>
              <w:pStyle w:val="10"/>
              <w:rPr>
                <w:rFonts w:hint="eastAsia" w:cs="Times New Roman"/>
              </w:rPr>
            </w:pPr>
            <w:r>
              <w:rPr>
                <w:rFonts w:cs="Times New Roman"/>
              </w:rPr>
              <w:t>2.巡查发现，优化整合拆违控违队伍</w:t>
            </w:r>
          </w:p>
          <w:p w14:paraId="3B04EC76">
            <w:pPr>
              <w:keepNext w:val="0"/>
              <w:keepLines w:val="0"/>
              <w:widowControl/>
              <w:suppressLineNumbers w:val="0"/>
              <w:jc w:val="both"/>
              <w:textAlignment w:val="center"/>
              <w:rPr>
                <w:rFonts w:hint="eastAsia" w:ascii="宋体" w:hAnsi="宋体" w:eastAsia="宋体" w:cs="宋体"/>
                <w:b/>
                <w:bCs/>
                <w:i w:val="0"/>
                <w:iCs w:val="0"/>
                <w:color w:val="000000"/>
                <w:kern w:val="0"/>
                <w:sz w:val="18"/>
                <w:szCs w:val="18"/>
                <w:u w:val="none"/>
                <w:lang w:val="en-US" w:eastAsia="zh-CN" w:bidi="ar"/>
              </w:rPr>
            </w:pPr>
            <w:r>
              <w:rPr>
                <w:rFonts w:cs="Times New Roman"/>
              </w:rPr>
              <w:t>3.化解群众矛盾，保护自然环境促进社会稳定。</w:t>
            </w:r>
          </w:p>
        </w:tc>
      </w:tr>
      <w:tr w14:paraId="0510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63" w:type="dxa"/>
            <w:vMerge w:val="restart"/>
            <w:tcBorders>
              <w:top w:val="single" w:color="000000" w:sz="6" w:space="0"/>
              <w:left w:val="single" w:color="000000" w:sz="6" w:space="0"/>
              <w:bottom w:val="single" w:color="000000" w:sz="6" w:space="0"/>
              <w:right w:val="single" w:color="000000" w:sz="6" w:space="0"/>
            </w:tcBorders>
            <w:vAlign w:val="center"/>
          </w:tcPr>
          <w:p w14:paraId="003A3A6B">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一级指标</w:t>
            </w:r>
          </w:p>
        </w:tc>
        <w:tc>
          <w:tcPr>
            <w:tcW w:w="981" w:type="dxa"/>
            <w:vMerge w:val="restart"/>
            <w:tcBorders>
              <w:top w:val="single" w:color="000000" w:sz="6" w:space="0"/>
              <w:left w:val="nil"/>
              <w:bottom w:val="single" w:color="000000" w:sz="6" w:space="0"/>
              <w:right w:val="single" w:color="000000" w:sz="6" w:space="0"/>
            </w:tcBorders>
            <w:vAlign w:val="center"/>
          </w:tcPr>
          <w:p w14:paraId="6FDF7BFB">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二级指标</w:t>
            </w:r>
          </w:p>
        </w:tc>
        <w:tc>
          <w:tcPr>
            <w:tcW w:w="1315" w:type="dxa"/>
            <w:vMerge w:val="restart"/>
            <w:tcBorders>
              <w:top w:val="single" w:color="000000" w:sz="6" w:space="0"/>
              <w:left w:val="nil"/>
              <w:bottom w:val="single" w:color="000000" w:sz="6" w:space="0"/>
              <w:right w:val="single" w:color="000000" w:sz="6" w:space="0"/>
            </w:tcBorders>
            <w:vAlign w:val="center"/>
          </w:tcPr>
          <w:p w14:paraId="7D28546D">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三级指标</w:t>
            </w:r>
          </w:p>
        </w:tc>
        <w:tc>
          <w:tcPr>
            <w:tcW w:w="2019" w:type="dxa"/>
            <w:vMerge w:val="restart"/>
            <w:tcBorders>
              <w:top w:val="single" w:color="000000" w:sz="6" w:space="0"/>
              <w:left w:val="nil"/>
              <w:bottom w:val="single" w:color="000000" w:sz="6" w:space="0"/>
              <w:right w:val="single" w:color="000000" w:sz="6" w:space="0"/>
            </w:tcBorders>
            <w:vAlign w:val="center"/>
          </w:tcPr>
          <w:p w14:paraId="1A44FD69">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绩效指标描述</w:t>
            </w:r>
          </w:p>
        </w:tc>
        <w:tc>
          <w:tcPr>
            <w:tcW w:w="2389" w:type="dxa"/>
            <w:gridSpan w:val="3"/>
            <w:tcBorders>
              <w:top w:val="single" w:color="000000" w:sz="6" w:space="0"/>
              <w:left w:val="nil"/>
              <w:bottom w:val="single" w:color="000000" w:sz="6" w:space="0"/>
              <w:right w:val="single" w:color="000000" w:sz="6" w:space="0"/>
            </w:tcBorders>
            <w:vAlign w:val="center"/>
          </w:tcPr>
          <w:p w14:paraId="2B676F91">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指标值</w:t>
            </w:r>
          </w:p>
        </w:tc>
        <w:tc>
          <w:tcPr>
            <w:tcW w:w="1338" w:type="dxa"/>
            <w:vMerge w:val="restart"/>
            <w:tcBorders>
              <w:top w:val="single" w:color="000000" w:sz="6" w:space="0"/>
              <w:left w:val="nil"/>
              <w:bottom w:val="single" w:color="000000" w:sz="6" w:space="0"/>
              <w:right w:val="single" w:color="000000" w:sz="6" w:space="0"/>
            </w:tcBorders>
            <w:vAlign w:val="center"/>
          </w:tcPr>
          <w:p w14:paraId="7646E73C">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指标值确定依据</w:t>
            </w:r>
          </w:p>
        </w:tc>
        <w:tc>
          <w:tcPr>
            <w:tcW w:w="866" w:type="dxa"/>
            <w:vMerge w:val="restart"/>
            <w:tcBorders>
              <w:top w:val="single" w:color="000000" w:sz="6" w:space="0"/>
              <w:left w:val="nil"/>
              <w:right w:val="single" w:color="000000" w:sz="6" w:space="0"/>
            </w:tcBorders>
            <w:vAlign w:val="center"/>
          </w:tcPr>
          <w:p w14:paraId="2BF591C9">
            <w:pPr>
              <w:keepNext w:val="0"/>
              <w:keepLines w:val="0"/>
              <w:widowControl/>
              <w:suppressLineNumbers w:val="0"/>
              <w:tabs>
                <w:tab w:val="left" w:pos="233"/>
              </w:tabs>
              <w:jc w:val="left"/>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cs="宋体"/>
                <w:b/>
                <w:bCs/>
                <w:i w:val="0"/>
                <w:iCs w:val="0"/>
                <w:color w:val="000000"/>
                <w:kern w:val="0"/>
                <w:sz w:val="18"/>
                <w:szCs w:val="18"/>
                <w:u w:val="none"/>
                <w:lang w:val="en-US" w:eastAsia="zh-CN" w:bidi="ar"/>
              </w:rPr>
              <w:tab/>
            </w:r>
            <w:r>
              <w:rPr>
                <w:rFonts w:hint="eastAsia" w:ascii="宋体" w:hAnsi="宋体" w:cs="宋体"/>
                <w:b/>
                <w:bCs/>
                <w:i w:val="0"/>
                <w:iCs w:val="0"/>
                <w:color w:val="000000"/>
                <w:kern w:val="0"/>
                <w:sz w:val="18"/>
                <w:szCs w:val="18"/>
                <w:u w:val="none"/>
                <w:lang w:val="en-US" w:eastAsia="zh-CN" w:bidi="ar"/>
              </w:rPr>
              <w:t>得分</w:t>
            </w:r>
          </w:p>
        </w:tc>
      </w:tr>
      <w:tr w14:paraId="183C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continue"/>
            <w:tcBorders>
              <w:top w:val="nil"/>
              <w:left w:val="single" w:color="000000" w:sz="6" w:space="0"/>
              <w:bottom w:val="single" w:color="000000" w:sz="6" w:space="0"/>
              <w:right w:val="single" w:color="000000" w:sz="6" w:space="0"/>
            </w:tcBorders>
            <w:vAlign w:val="center"/>
          </w:tcPr>
          <w:p w14:paraId="5C6C0631">
            <w:pPr>
              <w:jc w:val="center"/>
              <w:rPr>
                <w:rFonts w:hint="eastAsia" w:cs="Times New Roman"/>
              </w:rPr>
            </w:pPr>
          </w:p>
        </w:tc>
        <w:tc>
          <w:tcPr>
            <w:tcW w:w="981" w:type="dxa"/>
            <w:vMerge w:val="continue"/>
            <w:tcBorders>
              <w:top w:val="single" w:color="000000" w:sz="6" w:space="0"/>
              <w:left w:val="nil"/>
              <w:bottom w:val="single" w:color="000000" w:sz="6" w:space="0"/>
              <w:right w:val="single" w:color="000000" w:sz="6" w:space="0"/>
            </w:tcBorders>
            <w:vAlign w:val="center"/>
          </w:tcPr>
          <w:p w14:paraId="5C2331AC">
            <w:pPr>
              <w:jc w:val="center"/>
              <w:rPr>
                <w:rFonts w:hint="eastAsia" w:cs="Times New Roman"/>
              </w:rPr>
            </w:pPr>
          </w:p>
        </w:tc>
        <w:tc>
          <w:tcPr>
            <w:tcW w:w="1315" w:type="dxa"/>
            <w:vMerge w:val="continue"/>
            <w:tcBorders>
              <w:top w:val="single" w:color="000000" w:sz="6" w:space="0"/>
              <w:left w:val="nil"/>
              <w:bottom w:val="single" w:color="000000" w:sz="6" w:space="0"/>
              <w:right w:val="single" w:color="000000" w:sz="6" w:space="0"/>
            </w:tcBorders>
            <w:vAlign w:val="center"/>
          </w:tcPr>
          <w:p w14:paraId="7CC079A2">
            <w:pPr>
              <w:jc w:val="center"/>
              <w:rPr>
                <w:rFonts w:hint="eastAsia" w:cs="Times New Roman"/>
              </w:rPr>
            </w:pPr>
          </w:p>
        </w:tc>
        <w:tc>
          <w:tcPr>
            <w:tcW w:w="2019" w:type="dxa"/>
            <w:vMerge w:val="continue"/>
            <w:tcBorders>
              <w:top w:val="single" w:color="000000" w:sz="6" w:space="0"/>
              <w:left w:val="nil"/>
              <w:bottom w:val="single" w:color="000000" w:sz="6" w:space="0"/>
              <w:right w:val="single" w:color="000000" w:sz="6" w:space="0"/>
            </w:tcBorders>
            <w:vAlign w:val="center"/>
          </w:tcPr>
          <w:p w14:paraId="49D993F4">
            <w:pPr>
              <w:jc w:val="center"/>
              <w:rPr>
                <w:rFonts w:hint="eastAsia" w:cs="Times New Roman"/>
              </w:rPr>
            </w:pPr>
          </w:p>
        </w:tc>
        <w:tc>
          <w:tcPr>
            <w:tcW w:w="704" w:type="dxa"/>
            <w:tcBorders>
              <w:top w:val="single" w:color="000000" w:sz="6" w:space="0"/>
              <w:left w:val="nil"/>
              <w:bottom w:val="single" w:color="000000" w:sz="6" w:space="0"/>
              <w:right w:val="single" w:color="000000" w:sz="6" w:space="0"/>
            </w:tcBorders>
            <w:vAlign w:val="center"/>
          </w:tcPr>
          <w:p w14:paraId="338CBE83">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符号</w:t>
            </w:r>
          </w:p>
        </w:tc>
        <w:tc>
          <w:tcPr>
            <w:tcW w:w="693" w:type="dxa"/>
            <w:tcBorders>
              <w:top w:val="single" w:color="000000" w:sz="6" w:space="0"/>
              <w:left w:val="nil"/>
              <w:bottom w:val="single" w:color="000000" w:sz="6" w:space="0"/>
              <w:right w:val="single" w:color="000000" w:sz="6" w:space="0"/>
            </w:tcBorders>
            <w:vAlign w:val="center"/>
          </w:tcPr>
          <w:p w14:paraId="133D7687">
            <w:pPr>
              <w:keepNext w:val="0"/>
              <w:keepLines w:val="0"/>
              <w:widowControl/>
              <w:suppressLineNumbers w:val="0"/>
              <w:jc w:val="center"/>
              <w:textAlignment w:val="center"/>
            </w:pPr>
            <w:r>
              <w:rPr>
                <w:rFonts w:hint="eastAsia" w:ascii="宋体" w:hAnsi="宋体" w:eastAsia="宋体" w:cs="宋体"/>
                <w:b/>
                <w:bCs/>
                <w:i w:val="0"/>
                <w:iCs w:val="0"/>
                <w:color w:val="000000"/>
                <w:kern w:val="0"/>
                <w:sz w:val="18"/>
                <w:szCs w:val="18"/>
                <w:u w:val="none"/>
                <w:lang w:val="en-US" w:eastAsia="zh-CN" w:bidi="ar"/>
              </w:rPr>
              <w:t>值</w:t>
            </w:r>
          </w:p>
        </w:tc>
        <w:tc>
          <w:tcPr>
            <w:tcW w:w="992" w:type="dxa"/>
            <w:tcBorders>
              <w:top w:val="single" w:color="000000" w:sz="6" w:space="0"/>
              <w:left w:val="nil"/>
              <w:bottom w:val="single" w:color="000000" w:sz="6" w:space="0"/>
              <w:right w:val="single" w:color="000000" w:sz="6" w:space="0"/>
            </w:tcBorders>
            <w:vAlign w:val="center"/>
          </w:tcPr>
          <w:p w14:paraId="62D49016">
            <w:pPr>
              <w:keepNext w:val="0"/>
              <w:keepLines w:val="0"/>
              <w:widowControl/>
              <w:suppressLineNumbers w:val="0"/>
              <w:jc w:val="center"/>
              <w:textAlignment w:val="center"/>
            </w:pPr>
            <w:r>
              <w:rPr>
                <w:rFonts w:hint="eastAsia" w:ascii="宋体" w:hAnsi="宋体" w:eastAsia="宋体" w:cs="宋体"/>
                <w:b/>
                <w:bCs/>
                <w:i w:val="0"/>
                <w:iCs w:val="0"/>
                <w:color w:val="000000"/>
                <w:kern w:val="0"/>
                <w:sz w:val="18"/>
                <w:szCs w:val="18"/>
                <w:u w:val="none"/>
                <w:lang w:val="en-US" w:eastAsia="zh-CN" w:bidi="ar"/>
              </w:rPr>
              <w:t>单位（文字描述）</w:t>
            </w:r>
          </w:p>
        </w:tc>
        <w:tc>
          <w:tcPr>
            <w:tcW w:w="1338" w:type="dxa"/>
            <w:vMerge w:val="continue"/>
            <w:tcBorders>
              <w:top w:val="single" w:color="000000" w:sz="6" w:space="0"/>
              <w:left w:val="nil"/>
              <w:bottom w:val="single" w:color="000000" w:sz="6" w:space="0"/>
              <w:right w:val="single" w:color="000000" w:sz="6" w:space="0"/>
            </w:tcBorders>
            <w:vAlign w:val="center"/>
          </w:tcPr>
          <w:p w14:paraId="712F6C63">
            <w:pPr>
              <w:jc w:val="center"/>
              <w:rPr>
                <w:rFonts w:hint="eastAsia" w:cs="Times New Roman"/>
              </w:rPr>
            </w:pPr>
          </w:p>
        </w:tc>
        <w:tc>
          <w:tcPr>
            <w:tcW w:w="866" w:type="dxa"/>
            <w:vMerge w:val="continue"/>
            <w:tcBorders>
              <w:left w:val="nil"/>
              <w:bottom w:val="single" w:color="000000" w:sz="6" w:space="0"/>
              <w:right w:val="single" w:color="000000" w:sz="6" w:space="0"/>
            </w:tcBorders>
            <w:vAlign w:val="center"/>
          </w:tcPr>
          <w:p w14:paraId="7CCD7F35">
            <w:pPr>
              <w:jc w:val="center"/>
              <w:rPr>
                <w:rFonts w:hint="eastAsia" w:cs="Times New Roman"/>
              </w:rPr>
            </w:pPr>
          </w:p>
        </w:tc>
      </w:tr>
      <w:tr w14:paraId="48E3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restart"/>
            <w:tcBorders>
              <w:top w:val="nil"/>
              <w:left w:val="single" w:color="000000" w:sz="6" w:space="0"/>
              <w:bottom w:val="single" w:color="000000" w:sz="6" w:space="0"/>
              <w:right w:val="single" w:color="000000" w:sz="6" w:space="0"/>
            </w:tcBorders>
            <w:vAlign w:val="center"/>
          </w:tcPr>
          <w:p w14:paraId="542E70C9">
            <w:pPr>
              <w:keepNext w:val="0"/>
              <w:keepLines w:val="0"/>
              <w:widowControl/>
              <w:suppressLineNumbers w:val="0"/>
              <w:jc w:val="center"/>
              <w:textAlignment w:val="center"/>
              <w:rPr>
                <w:rFonts w:hint="eastAsia" w:ascii="方正书宋_GBK" w:hAnsi="方正书宋_GBK"/>
                <w:szCs w:val="21"/>
              </w:rPr>
            </w:pPr>
            <w:r>
              <w:rPr>
                <w:rFonts w:hint="eastAsia" w:ascii="宋体" w:hAnsi="宋体" w:eastAsia="宋体" w:cs="宋体"/>
                <w:b/>
                <w:bCs/>
                <w:i w:val="0"/>
                <w:iCs w:val="0"/>
                <w:color w:val="000000"/>
                <w:kern w:val="0"/>
                <w:sz w:val="18"/>
                <w:szCs w:val="18"/>
                <w:u w:val="none"/>
                <w:lang w:val="en-US" w:eastAsia="zh-CN" w:bidi="ar"/>
              </w:rPr>
              <w:t>产出指标</w:t>
            </w:r>
          </w:p>
        </w:tc>
        <w:tc>
          <w:tcPr>
            <w:tcW w:w="981" w:type="dxa"/>
            <w:tcBorders>
              <w:top w:val="single" w:color="000000" w:sz="6" w:space="0"/>
              <w:left w:val="nil"/>
              <w:bottom w:val="single" w:color="000000" w:sz="6" w:space="0"/>
              <w:right w:val="single" w:color="000000" w:sz="6" w:space="0"/>
            </w:tcBorders>
            <w:vAlign w:val="center"/>
          </w:tcPr>
          <w:p w14:paraId="03F66DDD">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质量指标</w:t>
            </w:r>
          </w:p>
        </w:tc>
        <w:tc>
          <w:tcPr>
            <w:tcW w:w="1315" w:type="dxa"/>
            <w:tcBorders>
              <w:top w:val="single" w:color="000000" w:sz="6" w:space="0"/>
              <w:left w:val="nil"/>
              <w:bottom w:val="single" w:color="000000" w:sz="6" w:space="0"/>
              <w:right w:val="single" w:color="000000" w:sz="6" w:space="0"/>
            </w:tcBorders>
            <w:vAlign w:val="center"/>
          </w:tcPr>
          <w:p w14:paraId="15ED02AB">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机关工作运转效率</w:t>
            </w:r>
          </w:p>
        </w:tc>
        <w:tc>
          <w:tcPr>
            <w:tcW w:w="2019" w:type="dxa"/>
            <w:tcBorders>
              <w:top w:val="single" w:color="000000" w:sz="6" w:space="0"/>
              <w:left w:val="nil"/>
              <w:bottom w:val="single" w:color="000000" w:sz="6" w:space="0"/>
              <w:right w:val="single" w:color="000000" w:sz="6" w:space="0"/>
            </w:tcBorders>
            <w:vAlign w:val="center"/>
          </w:tcPr>
          <w:p w14:paraId="46EC57ED">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机关工作是否高效运转</w:t>
            </w:r>
          </w:p>
        </w:tc>
        <w:tc>
          <w:tcPr>
            <w:tcW w:w="704" w:type="dxa"/>
            <w:tcBorders>
              <w:top w:val="single" w:color="000000" w:sz="6" w:space="0"/>
              <w:left w:val="nil"/>
              <w:bottom w:val="single" w:color="000000" w:sz="6" w:space="0"/>
              <w:right w:val="single" w:color="000000" w:sz="6" w:space="0"/>
            </w:tcBorders>
            <w:vAlign w:val="center"/>
          </w:tcPr>
          <w:p w14:paraId="4D7729BB">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&gt;=</w:t>
            </w:r>
          </w:p>
        </w:tc>
        <w:tc>
          <w:tcPr>
            <w:tcW w:w="693" w:type="dxa"/>
            <w:tcBorders>
              <w:top w:val="single" w:color="000000" w:sz="6" w:space="0"/>
              <w:left w:val="nil"/>
              <w:bottom w:val="single" w:color="000000" w:sz="6" w:space="0"/>
              <w:right w:val="single" w:color="000000" w:sz="6" w:space="0"/>
            </w:tcBorders>
            <w:vAlign w:val="center"/>
          </w:tcPr>
          <w:p w14:paraId="79F3D1F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90.00</w:t>
            </w:r>
          </w:p>
        </w:tc>
        <w:tc>
          <w:tcPr>
            <w:tcW w:w="992" w:type="dxa"/>
            <w:tcBorders>
              <w:top w:val="single" w:color="000000" w:sz="6" w:space="0"/>
              <w:left w:val="nil"/>
              <w:bottom w:val="single" w:color="000000" w:sz="6" w:space="0"/>
              <w:right w:val="single" w:color="000000" w:sz="6" w:space="0"/>
            </w:tcBorders>
            <w:vAlign w:val="center"/>
          </w:tcPr>
          <w:p w14:paraId="159AE93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百分比</w:t>
            </w:r>
          </w:p>
        </w:tc>
        <w:tc>
          <w:tcPr>
            <w:tcW w:w="1338" w:type="dxa"/>
            <w:tcBorders>
              <w:top w:val="single" w:color="000000" w:sz="6" w:space="0"/>
              <w:left w:val="nil"/>
              <w:bottom w:val="single" w:color="000000" w:sz="6" w:space="0"/>
              <w:right w:val="single" w:color="000000" w:sz="6" w:space="0"/>
            </w:tcBorders>
            <w:vAlign w:val="center"/>
          </w:tcPr>
          <w:p w14:paraId="63EC3714">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年度工作计划</w:t>
            </w:r>
          </w:p>
        </w:tc>
        <w:tc>
          <w:tcPr>
            <w:tcW w:w="866" w:type="dxa"/>
            <w:tcBorders>
              <w:top w:val="single" w:color="000000" w:sz="6" w:space="0"/>
              <w:left w:val="nil"/>
              <w:bottom w:val="single" w:color="000000" w:sz="6" w:space="0"/>
              <w:right w:val="single" w:color="000000" w:sz="6" w:space="0"/>
            </w:tcBorders>
            <w:vAlign w:val="center"/>
          </w:tcPr>
          <w:p w14:paraId="13E64828">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19</w:t>
            </w:r>
          </w:p>
        </w:tc>
      </w:tr>
      <w:tr w14:paraId="4853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continue"/>
            <w:tcBorders>
              <w:top w:val="nil"/>
              <w:left w:val="single" w:color="000000" w:sz="6" w:space="0"/>
              <w:bottom w:val="single" w:color="000000" w:sz="6" w:space="0"/>
              <w:right w:val="single" w:color="000000" w:sz="6" w:space="0"/>
            </w:tcBorders>
            <w:vAlign w:val="center"/>
          </w:tcPr>
          <w:p w14:paraId="6F519F24">
            <w:pPr>
              <w:jc w:val="center"/>
              <w:rPr>
                <w:rFonts w:hint="eastAsia" w:ascii="方正书宋_GBK" w:hAnsi="方正书宋_GBK"/>
                <w:szCs w:val="21"/>
              </w:rPr>
            </w:pPr>
          </w:p>
        </w:tc>
        <w:tc>
          <w:tcPr>
            <w:tcW w:w="981" w:type="dxa"/>
            <w:tcBorders>
              <w:top w:val="single" w:color="000000" w:sz="6" w:space="0"/>
              <w:left w:val="nil"/>
              <w:bottom w:val="single" w:color="000000" w:sz="6" w:space="0"/>
              <w:right w:val="single" w:color="000000" w:sz="6" w:space="0"/>
            </w:tcBorders>
            <w:vAlign w:val="center"/>
          </w:tcPr>
          <w:p w14:paraId="7B7C3611">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数量指标</w:t>
            </w:r>
          </w:p>
        </w:tc>
        <w:tc>
          <w:tcPr>
            <w:tcW w:w="1315" w:type="dxa"/>
            <w:tcBorders>
              <w:top w:val="single" w:color="000000" w:sz="6" w:space="0"/>
              <w:left w:val="nil"/>
              <w:bottom w:val="single" w:color="000000" w:sz="6" w:space="0"/>
              <w:right w:val="single" w:color="000000" w:sz="6" w:space="0"/>
            </w:tcBorders>
            <w:vAlign w:val="center"/>
          </w:tcPr>
          <w:p w14:paraId="3D9AC03E">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综合事务管理工作完成率</w:t>
            </w:r>
          </w:p>
        </w:tc>
        <w:tc>
          <w:tcPr>
            <w:tcW w:w="2019" w:type="dxa"/>
            <w:tcBorders>
              <w:top w:val="single" w:color="000000" w:sz="6" w:space="0"/>
              <w:left w:val="nil"/>
              <w:bottom w:val="single" w:color="000000" w:sz="6" w:space="0"/>
              <w:right w:val="single" w:color="000000" w:sz="6" w:space="0"/>
            </w:tcBorders>
            <w:vAlign w:val="center"/>
          </w:tcPr>
          <w:p w14:paraId="44096DD2">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综合事务管理工作的完成情况</w:t>
            </w:r>
          </w:p>
        </w:tc>
        <w:tc>
          <w:tcPr>
            <w:tcW w:w="704" w:type="dxa"/>
            <w:tcBorders>
              <w:top w:val="single" w:color="000000" w:sz="6" w:space="0"/>
              <w:left w:val="nil"/>
              <w:bottom w:val="single" w:color="000000" w:sz="6" w:space="0"/>
              <w:right w:val="single" w:color="000000" w:sz="6" w:space="0"/>
            </w:tcBorders>
            <w:vAlign w:val="center"/>
          </w:tcPr>
          <w:p w14:paraId="76CF9C7D">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&gt;=</w:t>
            </w:r>
          </w:p>
        </w:tc>
        <w:tc>
          <w:tcPr>
            <w:tcW w:w="693" w:type="dxa"/>
            <w:tcBorders>
              <w:top w:val="single" w:color="000000" w:sz="6" w:space="0"/>
              <w:left w:val="nil"/>
              <w:bottom w:val="single" w:color="000000" w:sz="6" w:space="0"/>
              <w:right w:val="single" w:color="000000" w:sz="6" w:space="0"/>
            </w:tcBorders>
            <w:vAlign w:val="center"/>
          </w:tcPr>
          <w:p w14:paraId="13B21A3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90.00</w:t>
            </w:r>
          </w:p>
        </w:tc>
        <w:tc>
          <w:tcPr>
            <w:tcW w:w="992" w:type="dxa"/>
            <w:tcBorders>
              <w:top w:val="single" w:color="000000" w:sz="6" w:space="0"/>
              <w:left w:val="nil"/>
              <w:bottom w:val="single" w:color="000000" w:sz="6" w:space="0"/>
              <w:right w:val="single" w:color="000000" w:sz="6" w:space="0"/>
            </w:tcBorders>
            <w:vAlign w:val="center"/>
          </w:tcPr>
          <w:p w14:paraId="4443697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百分比</w:t>
            </w:r>
          </w:p>
        </w:tc>
        <w:tc>
          <w:tcPr>
            <w:tcW w:w="1338" w:type="dxa"/>
            <w:tcBorders>
              <w:top w:val="single" w:color="000000" w:sz="6" w:space="0"/>
              <w:left w:val="nil"/>
              <w:bottom w:val="single" w:color="000000" w:sz="6" w:space="0"/>
              <w:right w:val="single" w:color="000000" w:sz="6" w:space="0"/>
            </w:tcBorders>
            <w:vAlign w:val="center"/>
          </w:tcPr>
          <w:p w14:paraId="384EECC1">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年度工作计划</w:t>
            </w:r>
          </w:p>
        </w:tc>
        <w:tc>
          <w:tcPr>
            <w:tcW w:w="866" w:type="dxa"/>
            <w:tcBorders>
              <w:top w:val="single" w:color="000000" w:sz="6" w:space="0"/>
              <w:left w:val="nil"/>
              <w:bottom w:val="single" w:color="000000" w:sz="6" w:space="0"/>
              <w:right w:val="single" w:color="000000" w:sz="6" w:space="0"/>
            </w:tcBorders>
            <w:vAlign w:val="center"/>
          </w:tcPr>
          <w:p w14:paraId="7DFA1C0A">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19</w:t>
            </w:r>
          </w:p>
        </w:tc>
      </w:tr>
      <w:tr w14:paraId="3B12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continue"/>
            <w:tcBorders>
              <w:top w:val="nil"/>
              <w:left w:val="single" w:color="000000" w:sz="6" w:space="0"/>
              <w:bottom w:val="single" w:color="000000" w:sz="6" w:space="0"/>
              <w:right w:val="single" w:color="000000" w:sz="6" w:space="0"/>
            </w:tcBorders>
            <w:vAlign w:val="center"/>
          </w:tcPr>
          <w:p w14:paraId="60E3F695">
            <w:pPr>
              <w:jc w:val="center"/>
              <w:rPr>
                <w:rFonts w:hint="eastAsia" w:ascii="方正书宋_GBK" w:hAnsi="方正书宋_GBK"/>
                <w:szCs w:val="21"/>
              </w:rPr>
            </w:pPr>
          </w:p>
        </w:tc>
        <w:tc>
          <w:tcPr>
            <w:tcW w:w="981" w:type="dxa"/>
            <w:tcBorders>
              <w:top w:val="single" w:color="000000" w:sz="6" w:space="0"/>
              <w:left w:val="nil"/>
              <w:bottom w:val="single" w:color="000000" w:sz="6" w:space="0"/>
              <w:right w:val="single" w:color="000000" w:sz="6" w:space="0"/>
            </w:tcBorders>
            <w:vAlign w:val="center"/>
          </w:tcPr>
          <w:p w14:paraId="3DA139AF">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时效指标</w:t>
            </w:r>
          </w:p>
        </w:tc>
        <w:tc>
          <w:tcPr>
            <w:tcW w:w="1315" w:type="dxa"/>
            <w:tcBorders>
              <w:top w:val="single" w:color="000000" w:sz="6" w:space="0"/>
              <w:left w:val="nil"/>
              <w:bottom w:val="single" w:color="000000" w:sz="6" w:space="0"/>
              <w:right w:val="single" w:color="000000" w:sz="6" w:space="0"/>
            </w:tcBorders>
            <w:vAlign w:val="center"/>
          </w:tcPr>
          <w:p w14:paraId="011D0985">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政务服务大厅高效运转，服务办事群众</w:t>
            </w:r>
          </w:p>
        </w:tc>
        <w:tc>
          <w:tcPr>
            <w:tcW w:w="2019" w:type="dxa"/>
            <w:tcBorders>
              <w:top w:val="single" w:color="000000" w:sz="6" w:space="0"/>
              <w:left w:val="nil"/>
              <w:bottom w:val="single" w:color="000000" w:sz="6" w:space="0"/>
              <w:right w:val="single" w:color="000000" w:sz="6" w:space="0"/>
            </w:tcBorders>
            <w:vAlign w:val="center"/>
          </w:tcPr>
          <w:p w14:paraId="6A54B44D">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政务服务大厅是否高效运转</w:t>
            </w:r>
          </w:p>
        </w:tc>
        <w:tc>
          <w:tcPr>
            <w:tcW w:w="704" w:type="dxa"/>
            <w:tcBorders>
              <w:top w:val="single" w:color="000000" w:sz="6" w:space="0"/>
              <w:left w:val="nil"/>
              <w:bottom w:val="single" w:color="000000" w:sz="6" w:space="0"/>
              <w:right w:val="single" w:color="000000" w:sz="6" w:space="0"/>
            </w:tcBorders>
            <w:vAlign w:val="center"/>
          </w:tcPr>
          <w:p w14:paraId="5387BFF9">
            <w:pPr>
              <w:keepNext w:val="0"/>
              <w:keepLines w:val="0"/>
              <w:widowControl/>
              <w:suppressLineNumbers w:val="0"/>
              <w:jc w:val="left"/>
              <w:textAlignment w:val="center"/>
              <w:rPr>
                <w:rFonts w:hint="eastAsia" w:eastAsia="宋体" w:cs="Times New Roman"/>
                <w:lang w:val="en-US" w:eastAsia="zh-CN"/>
              </w:rPr>
            </w:pPr>
            <w:r>
              <w:rPr>
                <w:rFonts w:hint="eastAsia" w:ascii="宋体" w:hAnsi="宋体" w:eastAsia="宋体" w:cs="宋体"/>
                <w:i w:val="0"/>
                <w:iCs w:val="0"/>
                <w:color w:val="000000"/>
                <w:kern w:val="0"/>
                <w:sz w:val="18"/>
                <w:szCs w:val="18"/>
                <w:u w:val="none"/>
                <w:lang w:val="en-US" w:eastAsia="zh-CN" w:bidi="ar"/>
              </w:rPr>
              <w:t>文字描述</w:t>
            </w:r>
          </w:p>
        </w:tc>
        <w:tc>
          <w:tcPr>
            <w:tcW w:w="693" w:type="dxa"/>
            <w:tcBorders>
              <w:top w:val="single" w:color="000000" w:sz="6" w:space="0"/>
              <w:left w:val="nil"/>
              <w:bottom w:val="single" w:color="000000" w:sz="6" w:space="0"/>
              <w:right w:val="single" w:color="000000" w:sz="6" w:space="0"/>
            </w:tcBorders>
            <w:vAlign w:val="center"/>
          </w:tcPr>
          <w:p w14:paraId="4C1767DE">
            <w:pPr>
              <w:jc w:val="right"/>
            </w:pPr>
          </w:p>
        </w:tc>
        <w:tc>
          <w:tcPr>
            <w:tcW w:w="992" w:type="dxa"/>
            <w:tcBorders>
              <w:top w:val="single" w:color="000000" w:sz="6" w:space="0"/>
              <w:left w:val="nil"/>
              <w:bottom w:val="single" w:color="000000" w:sz="6" w:space="0"/>
              <w:right w:val="single" w:color="000000" w:sz="6" w:space="0"/>
            </w:tcBorders>
            <w:vAlign w:val="center"/>
          </w:tcPr>
          <w:p w14:paraId="2A05386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政务服务大厅顺利运行</w:t>
            </w:r>
          </w:p>
        </w:tc>
        <w:tc>
          <w:tcPr>
            <w:tcW w:w="1338" w:type="dxa"/>
            <w:tcBorders>
              <w:top w:val="single" w:color="000000" w:sz="6" w:space="0"/>
              <w:left w:val="nil"/>
              <w:bottom w:val="single" w:color="000000" w:sz="6" w:space="0"/>
              <w:right w:val="single" w:color="000000" w:sz="6" w:space="0"/>
            </w:tcBorders>
            <w:vAlign w:val="center"/>
          </w:tcPr>
          <w:p w14:paraId="765D14D7">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年度工作计划</w:t>
            </w:r>
          </w:p>
        </w:tc>
        <w:tc>
          <w:tcPr>
            <w:tcW w:w="866" w:type="dxa"/>
            <w:tcBorders>
              <w:top w:val="single" w:color="000000" w:sz="6" w:space="0"/>
              <w:left w:val="nil"/>
              <w:bottom w:val="single" w:color="000000" w:sz="6" w:space="0"/>
              <w:right w:val="single" w:color="000000" w:sz="6" w:space="0"/>
            </w:tcBorders>
            <w:vAlign w:val="center"/>
          </w:tcPr>
          <w:p w14:paraId="541CC3E8">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19</w:t>
            </w:r>
          </w:p>
        </w:tc>
      </w:tr>
      <w:tr w14:paraId="50FD2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restart"/>
            <w:tcBorders>
              <w:top w:val="nil"/>
              <w:left w:val="single" w:color="000000" w:sz="6" w:space="0"/>
              <w:bottom w:val="single" w:color="000000" w:sz="6" w:space="0"/>
              <w:right w:val="single" w:color="000000" w:sz="6" w:space="0"/>
            </w:tcBorders>
            <w:vAlign w:val="center"/>
          </w:tcPr>
          <w:p w14:paraId="4A2D806A">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效果指标</w:t>
            </w:r>
          </w:p>
        </w:tc>
        <w:tc>
          <w:tcPr>
            <w:tcW w:w="981" w:type="dxa"/>
            <w:tcBorders>
              <w:top w:val="single" w:color="000000" w:sz="6" w:space="0"/>
              <w:left w:val="nil"/>
              <w:bottom w:val="single" w:color="000000" w:sz="6" w:space="0"/>
              <w:right w:val="single" w:color="000000" w:sz="6" w:space="0"/>
            </w:tcBorders>
            <w:vAlign w:val="center"/>
          </w:tcPr>
          <w:p w14:paraId="2914F407">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社会效益指标</w:t>
            </w:r>
          </w:p>
        </w:tc>
        <w:tc>
          <w:tcPr>
            <w:tcW w:w="1315" w:type="dxa"/>
            <w:tcBorders>
              <w:top w:val="single" w:color="000000" w:sz="6" w:space="0"/>
              <w:left w:val="nil"/>
              <w:bottom w:val="single" w:color="000000" w:sz="6" w:space="0"/>
              <w:right w:val="single" w:color="000000" w:sz="6" w:space="0"/>
            </w:tcBorders>
            <w:vAlign w:val="center"/>
          </w:tcPr>
          <w:p w14:paraId="372B3D00">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加快执法办案、普法宣传进度</w:t>
            </w:r>
          </w:p>
        </w:tc>
        <w:tc>
          <w:tcPr>
            <w:tcW w:w="2019" w:type="dxa"/>
            <w:tcBorders>
              <w:top w:val="single" w:color="000000" w:sz="6" w:space="0"/>
              <w:left w:val="nil"/>
              <w:bottom w:val="single" w:color="000000" w:sz="6" w:space="0"/>
              <w:right w:val="single" w:color="000000" w:sz="6" w:space="0"/>
            </w:tcBorders>
            <w:vAlign w:val="center"/>
          </w:tcPr>
          <w:p w14:paraId="7D696D53">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反映法制工作效果情况</w:t>
            </w:r>
          </w:p>
        </w:tc>
        <w:tc>
          <w:tcPr>
            <w:tcW w:w="704" w:type="dxa"/>
            <w:tcBorders>
              <w:top w:val="single" w:color="000000" w:sz="6" w:space="0"/>
              <w:left w:val="nil"/>
              <w:bottom w:val="single" w:color="000000" w:sz="6" w:space="0"/>
              <w:right w:val="single" w:color="000000" w:sz="6" w:space="0"/>
            </w:tcBorders>
            <w:vAlign w:val="center"/>
          </w:tcPr>
          <w:p w14:paraId="0680B6FD">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&gt;=</w:t>
            </w:r>
          </w:p>
        </w:tc>
        <w:tc>
          <w:tcPr>
            <w:tcW w:w="693" w:type="dxa"/>
            <w:tcBorders>
              <w:top w:val="single" w:color="000000" w:sz="6" w:space="0"/>
              <w:left w:val="nil"/>
              <w:bottom w:val="single" w:color="000000" w:sz="6" w:space="0"/>
              <w:right w:val="single" w:color="000000" w:sz="6" w:space="0"/>
            </w:tcBorders>
            <w:vAlign w:val="center"/>
          </w:tcPr>
          <w:p w14:paraId="1F105FFF">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90.00</w:t>
            </w:r>
          </w:p>
        </w:tc>
        <w:tc>
          <w:tcPr>
            <w:tcW w:w="992" w:type="dxa"/>
            <w:tcBorders>
              <w:top w:val="single" w:color="000000" w:sz="6" w:space="0"/>
              <w:left w:val="nil"/>
              <w:bottom w:val="single" w:color="000000" w:sz="6" w:space="0"/>
              <w:right w:val="single" w:color="000000" w:sz="6" w:space="0"/>
            </w:tcBorders>
            <w:vAlign w:val="center"/>
          </w:tcPr>
          <w:p w14:paraId="4CF219A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百分比</w:t>
            </w:r>
          </w:p>
        </w:tc>
        <w:tc>
          <w:tcPr>
            <w:tcW w:w="1338" w:type="dxa"/>
            <w:tcBorders>
              <w:top w:val="single" w:color="000000" w:sz="6" w:space="0"/>
              <w:left w:val="nil"/>
              <w:bottom w:val="single" w:color="000000" w:sz="6" w:space="0"/>
              <w:right w:val="single" w:color="000000" w:sz="6" w:space="0"/>
            </w:tcBorders>
            <w:vAlign w:val="center"/>
          </w:tcPr>
          <w:p w14:paraId="29A17B9A">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年度工作计划</w:t>
            </w:r>
          </w:p>
        </w:tc>
        <w:tc>
          <w:tcPr>
            <w:tcW w:w="866" w:type="dxa"/>
            <w:tcBorders>
              <w:top w:val="single" w:color="000000" w:sz="6" w:space="0"/>
              <w:left w:val="nil"/>
              <w:bottom w:val="single" w:color="000000" w:sz="6" w:space="0"/>
              <w:right w:val="single" w:color="000000" w:sz="6" w:space="0"/>
            </w:tcBorders>
            <w:vAlign w:val="center"/>
          </w:tcPr>
          <w:p w14:paraId="1696DC7B">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9</w:t>
            </w:r>
          </w:p>
        </w:tc>
      </w:tr>
      <w:tr w14:paraId="1D27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continue"/>
            <w:tcBorders>
              <w:top w:val="nil"/>
              <w:left w:val="single" w:color="000000" w:sz="6" w:space="0"/>
              <w:bottom w:val="single" w:color="000000" w:sz="6" w:space="0"/>
              <w:right w:val="single" w:color="000000" w:sz="6" w:space="0"/>
            </w:tcBorders>
            <w:vAlign w:val="center"/>
          </w:tcPr>
          <w:p w14:paraId="630AC318">
            <w:pPr>
              <w:jc w:val="center"/>
              <w:rPr>
                <w:rFonts w:hint="eastAsia" w:ascii="方正书宋_GBK" w:hAnsi="方正书宋_GBK"/>
                <w:szCs w:val="21"/>
              </w:rPr>
            </w:pPr>
          </w:p>
        </w:tc>
        <w:tc>
          <w:tcPr>
            <w:tcW w:w="981" w:type="dxa"/>
            <w:tcBorders>
              <w:top w:val="single" w:color="000000" w:sz="6" w:space="0"/>
              <w:left w:val="nil"/>
              <w:bottom w:val="single" w:color="000000" w:sz="6" w:space="0"/>
              <w:right w:val="single" w:color="000000" w:sz="6" w:space="0"/>
            </w:tcBorders>
            <w:vAlign w:val="center"/>
          </w:tcPr>
          <w:p w14:paraId="3193AC92">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可持续影响指标</w:t>
            </w:r>
          </w:p>
        </w:tc>
        <w:tc>
          <w:tcPr>
            <w:tcW w:w="1315" w:type="dxa"/>
            <w:tcBorders>
              <w:top w:val="single" w:color="000000" w:sz="6" w:space="0"/>
              <w:left w:val="nil"/>
              <w:bottom w:val="single" w:color="000000" w:sz="6" w:space="0"/>
              <w:right w:val="single" w:color="000000" w:sz="6" w:space="0"/>
            </w:tcBorders>
            <w:vAlign w:val="center"/>
          </w:tcPr>
          <w:p w14:paraId="622CDBA4">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影响持续性</w:t>
            </w:r>
          </w:p>
        </w:tc>
        <w:tc>
          <w:tcPr>
            <w:tcW w:w="2019" w:type="dxa"/>
            <w:tcBorders>
              <w:top w:val="single" w:color="000000" w:sz="6" w:space="0"/>
              <w:left w:val="nil"/>
              <w:bottom w:val="single" w:color="000000" w:sz="6" w:space="0"/>
              <w:right w:val="single" w:color="000000" w:sz="6" w:space="0"/>
            </w:tcBorders>
            <w:vAlign w:val="center"/>
          </w:tcPr>
          <w:p w14:paraId="47CA272C">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反映项目资金投入对项目持续性影响</w:t>
            </w:r>
          </w:p>
        </w:tc>
        <w:tc>
          <w:tcPr>
            <w:tcW w:w="704" w:type="dxa"/>
            <w:tcBorders>
              <w:top w:val="single" w:color="000000" w:sz="6" w:space="0"/>
              <w:left w:val="nil"/>
              <w:bottom w:val="single" w:color="000000" w:sz="6" w:space="0"/>
              <w:right w:val="single" w:color="000000" w:sz="6" w:space="0"/>
            </w:tcBorders>
            <w:vAlign w:val="center"/>
          </w:tcPr>
          <w:p w14:paraId="12DDDA95">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&gt;=</w:t>
            </w:r>
          </w:p>
        </w:tc>
        <w:tc>
          <w:tcPr>
            <w:tcW w:w="693" w:type="dxa"/>
            <w:tcBorders>
              <w:top w:val="single" w:color="000000" w:sz="6" w:space="0"/>
              <w:left w:val="nil"/>
              <w:bottom w:val="single" w:color="000000" w:sz="6" w:space="0"/>
              <w:right w:val="single" w:color="000000" w:sz="6" w:space="0"/>
            </w:tcBorders>
            <w:vAlign w:val="center"/>
          </w:tcPr>
          <w:p w14:paraId="0708E93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90.00</w:t>
            </w:r>
          </w:p>
        </w:tc>
        <w:tc>
          <w:tcPr>
            <w:tcW w:w="992" w:type="dxa"/>
            <w:tcBorders>
              <w:top w:val="single" w:color="000000" w:sz="6" w:space="0"/>
              <w:left w:val="nil"/>
              <w:bottom w:val="single" w:color="000000" w:sz="6" w:space="0"/>
              <w:right w:val="single" w:color="000000" w:sz="6" w:space="0"/>
            </w:tcBorders>
            <w:vAlign w:val="center"/>
          </w:tcPr>
          <w:p w14:paraId="0C3A311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百分比</w:t>
            </w:r>
          </w:p>
        </w:tc>
        <w:tc>
          <w:tcPr>
            <w:tcW w:w="1338" w:type="dxa"/>
            <w:tcBorders>
              <w:top w:val="single" w:color="000000" w:sz="6" w:space="0"/>
              <w:left w:val="nil"/>
              <w:bottom w:val="single" w:color="000000" w:sz="6" w:space="0"/>
              <w:right w:val="single" w:color="000000" w:sz="6" w:space="0"/>
            </w:tcBorders>
            <w:vAlign w:val="center"/>
          </w:tcPr>
          <w:p w14:paraId="6FD14F9D">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年度工作计划</w:t>
            </w:r>
          </w:p>
        </w:tc>
        <w:tc>
          <w:tcPr>
            <w:tcW w:w="866" w:type="dxa"/>
            <w:tcBorders>
              <w:top w:val="single" w:color="000000" w:sz="6" w:space="0"/>
              <w:left w:val="nil"/>
              <w:bottom w:val="single" w:color="000000" w:sz="6" w:space="0"/>
              <w:right w:val="single" w:color="000000" w:sz="6" w:space="0"/>
            </w:tcBorders>
            <w:vAlign w:val="center"/>
          </w:tcPr>
          <w:p w14:paraId="6C404CA5">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9</w:t>
            </w:r>
          </w:p>
        </w:tc>
      </w:tr>
      <w:tr w14:paraId="3BD6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restart"/>
            <w:tcBorders>
              <w:top w:val="single" w:color="000000" w:sz="6" w:space="0"/>
              <w:left w:val="single" w:color="000000" w:sz="6" w:space="0"/>
              <w:bottom w:val="single" w:color="000000" w:sz="6" w:space="0"/>
              <w:right w:val="single" w:color="000000" w:sz="6" w:space="0"/>
            </w:tcBorders>
            <w:vAlign w:val="center"/>
          </w:tcPr>
          <w:p w14:paraId="17F0B39F">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满意度</w:t>
            </w:r>
          </w:p>
          <w:p w14:paraId="3BDF475A">
            <w:pPr>
              <w:keepNext w:val="0"/>
              <w:keepLines w:val="0"/>
              <w:widowControl/>
              <w:suppressLineNumbers w:val="0"/>
              <w:jc w:val="center"/>
              <w:textAlignment w:val="center"/>
              <w:rPr>
                <w:rFonts w:hint="eastAsia" w:cs="Times New Roman"/>
              </w:rPr>
            </w:pPr>
            <w:r>
              <w:rPr>
                <w:rFonts w:hint="eastAsia" w:ascii="宋体" w:hAnsi="宋体" w:eastAsia="宋体" w:cs="宋体"/>
                <w:b/>
                <w:bCs/>
                <w:i w:val="0"/>
                <w:iCs w:val="0"/>
                <w:color w:val="000000"/>
                <w:kern w:val="0"/>
                <w:sz w:val="18"/>
                <w:szCs w:val="18"/>
                <w:u w:val="none"/>
                <w:lang w:val="en-US" w:eastAsia="zh-CN" w:bidi="ar"/>
              </w:rPr>
              <w:t>指标</w:t>
            </w:r>
          </w:p>
        </w:tc>
        <w:tc>
          <w:tcPr>
            <w:tcW w:w="981" w:type="dxa"/>
            <w:tcBorders>
              <w:top w:val="single" w:color="000000" w:sz="6" w:space="0"/>
              <w:left w:val="nil"/>
              <w:bottom w:val="single" w:color="000000" w:sz="6" w:space="0"/>
              <w:right w:val="single" w:color="000000" w:sz="6" w:space="0"/>
            </w:tcBorders>
            <w:vAlign w:val="center"/>
          </w:tcPr>
          <w:p w14:paraId="1ED5595A">
            <w:pPr>
              <w:keepNext w:val="0"/>
              <w:keepLines w:val="0"/>
              <w:widowControl/>
              <w:suppressLineNumbers w:val="0"/>
              <w:jc w:val="center"/>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15" w:type="dxa"/>
            <w:tcBorders>
              <w:top w:val="single" w:color="000000" w:sz="6" w:space="0"/>
              <w:left w:val="nil"/>
              <w:bottom w:val="single" w:color="000000" w:sz="6" w:space="0"/>
              <w:right w:val="single" w:color="000000" w:sz="6" w:space="0"/>
            </w:tcBorders>
            <w:vAlign w:val="center"/>
          </w:tcPr>
          <w:p w14:paraId="57902B43">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机关工作人员满意度</w:t>
            </w:r>
          </w:p>
        </w:tc>
        <w:tc>
          <w:tcPr>
            <w:tcW w:w="2019" w:type="dxa"/>
            <w:tcBorders>
              <w:top w:val="single" w:color="000000" w:sz="6" w:space="0"/>
              <w:left w:val="nil"/>
              <w:bottom w:val="single" w:color="000000" w:sz="6" w:space="0"/>
              <w:right w:val="single" w:color="000000" w:sz="6" w:space="0"/>
            </w:tcBorders>
            <w:vAlign w:val="center"/>
          </w:tcPr>
          <w:p w14:paraId="3321B4E2">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机关工作人员对日常工作运转的满意程度</w:t>
            </w:r>
          </w:p>
        </w:tc>
        <w:tc>
          <w:tcPr>
            <w:tcW w:w="704" w:type="dxa"/>
            <w:tcBorders>
              <w:top w:val="single" w:color="000000" w:sz="6" w:space="0"/>
              <w:left w:val="nil"/>
              <w:bottom w:val="single" w:color="000000" w:sz="6" w:space="0"/>
              <w:right w:val="single" w:color="000000" w:sz="6" w:space="0"/>
            </w:tcBorders>
            <w:vAlign w:val="center"/>
          </w:tcPr>
          <w:p w14:paraId="7C149717">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&gt;=</w:t>
            </w:r>
          </w:p>
        </w:tc>
        <w:tc>
          <w:tcPr>
            <w:tcW w:w="693" w:type="dxa"/>
            <w:tcBorders>
              <w:top w:val="single" w:color="000000" w:sz="6" w:space="0"/>
              <w:left w:val="nil"/>
              <w:bottom w:val="single" w:color="000000" w:sz="6" w:space="0"/>
              <w:right w:val="single" w:color="000000" w:sz="6" w:space="0"/>
            </w:tcBorders>
            <w:vAlign w:val="center"/>
          </w:tcPr>
          <w:p w14:paraId="035EB19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90.00</w:t>
            </w:r>
          </w:p>
        </w:tc>
        <w:tc>
          <w:tcPr>
            <w:tcW w:w="992" w:type="dxa"/>
            <w:tcBorders>
              <w:top w:val="single" w:color="000000" w:sz="6" w:space="0"/>
              <w:left w:val="nil"/>
              <w:bottom w:val="single" w:color="000000" w:sz="6" w:space="0"/>
              <w:right w:val="single" w:color="000000" w:sz="6" w:space="0"/>
            </w:tcBorders>
            <w:vAlign w:val="center"/>
          </w:tcPr>
          <w:p w14:paraId="1D544C7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百分比</w:t>
            </w:r>
          </w:p>
        </w:tc>
        <w:tc>
          <w:tcPr>
            <w:tcW w:w="1338" w:type="dxa"/>
            <w:tcBorders>
              <w:top w:val="single" w:color="000000" w:sz="6" w:space="0"/>
              <w:left w:val="nil"/>
              <w:bottom w:val="single" w:color="000000" w:sz="6" w:space="0"/>
              <w:right w:val="single" w:color="000000" w:sz="6" w:space="0"/>
            </w:tcBorders>
            <w:vAlign w:val="center"/>
          </w:tcPr>
          <w:p w14:paraId="40C6680E">
            <w:pPr>
              <w:keepNext w:val="0"/>
              <w:keepLines w:val="0"/>
              <w:widowControl/>
              <w:suppressLineNumbers w:val="0"/>
              <w:jc w:val="left"/>
              <w:textAlignment w:val="center"/>
              <w:rPr>
                <w:rFonts w:hint="eastAsia" w:cs="Times New Roman"/>
              </w:rPr>
            </w:pPr>
            <w:r>
              <w:rPr>
                <w:rFonts w:hint="eastAsia" w:ascii="宋体" w:hAnsi="宋体" w:eastAsia="宋体" w:cs="宋体"/>
                <w:i w:val="0"/>
                <w:iCs w:val="0"/>
                <w:color w:val="000000"/>
                <w:kern w:val="0"/>
                <w:sz w:val="18"/>
                <w:szCs w:val="18"/>
                <w:u w:val="none"/>
                <w:lang w:val="en-US" w:eastAsia="zh-CN" w:bidi="ar"/>
              </w:rPr>
              <w:t>近三年数据测评</w:t>
            </w:r>
          </w:p>
        </w:tc>
        <w:tc>
          <w:tcPr>
            <w:tcW w:w="866" w:type="dxa"/>
            <w:tcBorders>
              <w:top w:val="single" w:color="000000" w:sz="6" w:space="0"/>
              <w:left w:val="nil"/>
              <w:bottom w:val="single" w:color="000000" w:sz="6" w:space="0"/>
              <w:right w:val="single" w:color="000000" w:sz="6" w:space="0"/>
            </w:tcBorders>
            <w:vAlign w:val="center"/>
          </w:tcPr>
          <w:p w14:paraId="3316D9AF">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9</w:t>
            </w:r>
          </w:p>
        </w:tc>
      </w:tr>
      <w:tr w14:paraId="70E0F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Merge w:val="continue"/>
            <w:tcBorders>
              <w:top w:val="single" w:color="000000" w:sz="6" w:space="0"/>
              <w:left w:val="single" w:color="000000" w:sz="6" w:space="0"/>
              <w:bottom w:val="single" w:color="000000" w:sz="6" w:space="0"/>
              <w:right w:val="single" w:color="000000" w:sz="6" w:space="0"/>
            </w:tcBorders>
            <w:vAlign w:val="center"/>
          </w:tcPr>
          <w:p w14:paraId="199BF488">
            <w:pPr>
              <w:jc w:val="center"/>
              <w:rPr>
                <w:rFonts w:cs="Times New Roman"/>
              </w:rPr>
            </w:pPr>
          </w:p>
        </w:tc>
        <w:tc>
          <w:tcPr>
            <w:tcW w:w="981" w:type="dxa"/>
            <w:tcBorders>
              <w:top w:val="single" w:color="000000" w:sz="6" w:space="0"/>
              <w:left w:val="nil"/>
              <w:bottom w:val="single" w:color="000000" w:sz="6" w:space="0"/>
              <w:right w:val="single" w:color="000000" w:sz="6" w:space="0"/>
            </w:tcBorders>
            <w:vAlign w:val="center"/>
          </w:tcPr>
          <w:p w14:paraId="03835798">
            <w:pPr>
              <w:keepNext w:val="0"/>
              <w:keepLines w:val="0"/>
              <w:widowControl/>
              <w:suppressLineNumbers w:val="0"/>
              <w:jc w:val="left"/>
              <w:textAlignment w:val="center"/>
              <w:rPr>
                <w:rFonts w:cs="Times New Roman"/>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15" w:type="dxa"/>
            <w:tcBorders>
              <w:top w:val="single" w:color="000000" w:sz="6" w:space="0"/>
              <w:left w:val="nil"/>
              <w:bottom w:val="single" w:color="000000" w:sz="6" w:space="0"/>
              <w:right w:val="single" w:color="000000" w:sz="6" w:space="0"/>
            </w:tcBorders>
            <w:vAlign w:val="center"/>
          </w:tcPr>
          <w:p w14:paraId="410B8F2A">
            <w:pPr>
              <w:keepNext w:val="0"/>
              <w:keepLines w:val="0"/>
              <w:widowControl/>
              <w:suppressLineNumbers w:val="0"/>
              <w:jc w:val="left"/>
              <w:textAlignment w:val="center"/>
              <w:rPr>
                <w:rFonts w:cs="Times New Roman"/>
              </w:rPr>
            </w:pPr>
            <w:r>
              <w:rPr>
                <w:rFonts w:hint="eastAsia" w:ascii="宋体" w:hAnsi="宋体" w:eastAsia="宋体" w:cs="宋体"/>
                <w:i w:val="0"/>
                <w:iCs w:val="0"/>
                <w:color w:val="000000"/>
                <w:kern w:val="0"/>
                <w:sz w:val="18"/>
                <w:szCs w:val="18"/>
                <w:u w:val="none"/>
                <w:lang w:val="en-US" w:eastAsia="zh-CN" w:bidi="ar"/>
              </w:rPr>
              <w:t>群众满意度</w:t>
            </w:r>
          </w:p>
        </w:tc>
        <w:tc>
          <w:tcPr>
            <w:tcW w:w="2019" w:type="dxa"/>
            <w:tcBorders>
              <w:top w:val="single" w:color="000000" w:sz="6" w:space="0"/>
              <w:left w:val="nil"/>
              <w:bottom w:val="single" w:color="000000" w:sz="6" w:space="0"/>
              <w:right w:val="single" w:color="000000" w:sz="6" w:space="0"/>
            </w:tcBorders>
            <w:vAlign w:val="center"/>
          </w:tcPr>
          <w:p w14:paraId="450E74CC">
            <w:pPr>
              <w:keepNext w:val="0"/>
              <w:keepLines w:val="0"/>
              <w:widowControl/>
              <w:suppressLineNumbers w:val="0"/>
              <w:jc w:val="left"/>
              <w:textAlignment w:val="center"/>
              <w:rPr>
                <w:rFonts w:cs="Times New Roman"/>
              </w:rPr>
            </w:pPr>
            <w:r>
              <w:rPr>
                <w:rFonts w:hint="eastAsia" w:ascii="宋体" w:hAnsi="宋体" w:eastAsia="宋体" w:cs="宋体"/>
                <w:i w:val="0"/>
                <w:iCs w:val="0"/>
                <w:color w:val="000000"/>
                <w:kern w:val="0"/>
                <w:sz w:val="18"/>
                <w:szCs w:val="18"/>
                <w:u w:val="none"/>
                <w:lang w:val="en-US" w:eastAsia="zh-CN" w:bidi="ar"/>
              </w:rPr>
              <w:t>群众满意数量占总数的比例。</w:t>
            </w:r>
          </w:p>
        </w:tc>
        <w:tc>
          <w:tcPr>
            <w:tcW w:w="704" w:type="dxa"/>
            <w:tcBorders>
              <w:top w:val="single" w:color="000000" w:sz="6" w:space="0"/>
              <w:left w:val="nil"/>
              <w:bottom w:val="single" w:color="000000" w:sz="6" w:space="0"/>
              <w:right w:val="single" w:color="000000" w:sz="6" w:space="0"/>
            </w:tcBorders>
            <w:vAlign w:val="center"/>
          </w:tcPr>
          <w:p w14:paraId="1920F12A">
            <w:pPr>
              <w:keepNext w:val="0"/>
              <w:keepLines w:val="0"/>
              <w:widowControl/>
              <w:suppressLineNumbers w:val="0"/>
              <w:jc w:val="left"/>
              <w:textAlignment w:val="center"/>
              <w:rPr>
                <w:rFonts w:cs="Times New Roman"/>
              </w:rPr>
            </w:pPr>
            <w:r>
              <w:rPr>
                <w:rFonts w:hint="eastAsia" w:ascii="宋体" w:hAnsi="宋体" w:eastAsia="宋体" w:cs="宋体"/>
                <w:i w:val="0"/>
                <w:iCs w:val="0"/>
                <w:color w:val="000000"/>
                <w:kern w:val="0"/>
                <w:sz w:val="18"/>
                <w:szCs w:val="18"/>
                <w:u w:val="none"/>
                <w:lang w:val="en-US" w:eastAsia="zh-CN" w:bidi="ar"/>
              </w:rPr>
              <w:t>&gt;=</w:t>
            </w:r>
          </w:p>
        </w:tc>
        <w:tc>
          <w:tcPr>
            <w:tcW w:w="693" w:type="dxa"/>
            <w:tcBorders>
              <w:top w:val="single" w:color="000000" w:sz="6" w:space="0"/>
              <w:left w:val="nil"/>
              <w:bottom w:val="single" w:color="000000" w:sz="6" w:space="0"/>
              <w:right w:val="single" w:color="000000" w:sz="6" w:space="0"/>
            </w:tcBorders>
            <w:vAlign w:val="center"/>
          </w:tcPr>
          <w:p w14:paraId="1CBBE62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90.00</w:t>
            </w:r>
          </w:p>
        </w:tc>
        <w:tc>
          <w:tcPr>
            <w:tcW w:w="992" w:type="dxa"/>
            <w:tcBorders>
              <w:top w:val="single" w:color="000000" w:sz="6" w:space="0"/>
              <w:left w:val="nil"/>
              <w:bottom w:val="single" w:color="000000" w:sz="6" w:space="0"/>
              <w:right w:val="single" w:color="000000" w:sz="6" w:space="0"/>
            </w:tcBorders>
            <w:vAlign w:val="center"/>
          </w:tcPr>
          <w:p w14:paraId="2C00998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百分比</w:t>
            </w:r>
          </w:p>
        </w:tc>
        <w:tc>
          <w:tcPr>
            <w:tcW w:w="1338" w:type="dxa"/>
            <w:tcBorders>
              <w:top w:val="single" w:color="000000" w:sz="6" w:space="0"/>
              <w:left w:val="nil"/>
              <w:bottom w:val="single" w:color="000000" w:sz="6" w:space="0"/>
              <w:right w:val="single" w:color="000000" w:sz="6" w:space="0"/>
            </w:tcBorders>
            <w:vAlign w:val="center"/>
          </w:tcPr>
          <w:p w14:paraId="7B695A3D">
            <w:pPr>
              <w:keepNext w:val="0"/>
              <w:keepLines w:val="0"/>
              <w:widowControl/>
              <w:suppressLineNumbers w:val="0"/>
              <w:jc w:val="left"/>
              <w:textAlignment w:val="center"/>
              <w:rPr>
                <w:rFonts w:cs="Times New Roman"/>
              </w:rPr>
            </w:pPr>
            <w:r>
              <w:rPr>
                <w:rFonts w:hint="eastAsia" w:ascii="宋体" w:hAnsi="宋体" w:eastAsia="宋体" w:cs="宋体"/>
                <w:i w:val="0"/>
                <w:iCs w:val="0"/>
                <w:color w:val="000000"/>
                <w:kern w:val="0"/>
                <w:sz w:val="18"/>
                <w:szCs w:val="18"/>
                <w:u w:val="none"/>
                <w:lang w:val="en-US" w:eastAsia="zh-CN" w:bidi="ar"/>
              </w:rPr>
              <w:t>近三年数据测评</w:t>
            </w:r>
          </w:p>
        </w:tc>
        <w:tc>
          <w:tcPr>
            <w:tcW w:w="866" w:type="dxa"/>
            <w:tcBorders>
              <w:top w:val="single" w:color="000000" w:sz="6" w:space="0"/>
              <w:left w:val="nil"/>
              <w:bottom w:val="single" w:color="000000" w:sz="6" w:space="0"/>
              <w:right w:val="single" w:color="000000" w:sz="6" w:space="0"/>
            </w:tcBorders>
            <w:vAlign w:val="center"/>
          </w:tcPr>
          <w:p w14:paraId="3E57A135">
            <w:pPr>
              <w:keepNext w:val="0"/>
              <w:keepLines w:val="0"/>
              <w:widowControl/>
              <w:suppressLineNumbers w:val="0"/>
              <w:jc w:val="left"/>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9</w:t>
            </w:r>
          </w:p>
        </w:tc>
      </w:tr>
      <w:tr w14:paraId="663D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tcBorders>
              <w:top w:val="single" w:color="000000" w:sz="6" w:space="0"/>
              <w:left w:val="single" w:color="000000" w:sz="6" w:space="0"/>
              <w:bottom w:val="single" w:color="000000" w:sz="6" w:space="0"/>
              <w:right w:val="single" w:color="000000" w:sz="6" w:space="0"/>
            </w:tcBorders>
            <w:vAlign w:val="center"/>
          </w:tcPr>
          <w:p w14:paraId="72F2CD2E">
            <w:pPr>
              <w:jc w:val="center"/>
              <w:rPr>
                <w:rFonts w:hint="eastAsia" w:eastAsia="宋体" w:cs="Times New Roman"/>
                <w:lang w:eastAsia="zh-CN"/>
              </w:rPr>
            </w:pPr>
            <w:r>
              <w:rPr>
                <w:rFonts w:hint="eastAsia" w:cs="Times New Roman"/>
                <w:b/>
                <w:bCs/>
                <w:lang w:eastAsia="zh-CN"/>
              </w:rPr>
              <w:t>总分</w:t>
            </w:r>
          </w:p>
        </w:tc>
        <w:tc>
          <w:tcPr>
            <w:tcW w:w="8908" w:type="dxa"/>
            <w:gridSpan w:val="8"/>
            <w:tcBorders>
              <w:top w:val="single" w:color="000000" w:sz="6" w:space="0"/>
              <w:left w:val="nil"/>
              <w:bottom w:val="single" w:color="000000" w:sz="6" w:space="0"/>
              <w:right w:val="single" w:color="000000" w:sz="6" w:space="0"/>
            </w:tcBorders>
            <w:vAlign w:val="center"/>
          </w:tcPr>
          <w:p w14:paraId="4F5999F5">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b/>
                <w:bCs/>
                <w:i w:val="0"/>
                <w:iCs w:val="0"/>
                <w:color w:val="000000"/>
                <w:kern w:val="0"/>
                <w:sz w:val="18"/>
                <w:szCs w:val="18"/>
                <w:u w:val="none"/>
                <w:lang w:val="en-US" w:eastAsia="zh-CN" w:bidi="ar"/>
              </w:rPr>
              <w:t>93</w:t>
            </w:r>
          </w:p>
        </w:tc>
      </w:tr>
    </w:tbl>
    <w:p w14:paraId="1CDBE9E6">
      <w:pPr>
        <w:numPr>
          <w:ilvl w:val="0"/>
          <w:numId w:val="0"/>
        </w:numPr>
        <w:spacing w:line="560" w:lineRule="exact"/>
        <w:ind w:leftChars="0" w:firstLine="321" w:firstLineChars="100"/>
        <w:rPr>
          <w:rFonts w:ascii="仿宋" w:hAnsi="仿宋" w:eastAsia="仿宋" w:cs="楷体_GB2312"/>
          <w:b/>
          <w:bCs/>
          <w:sz w:val="32"/>
          <w:szCs w:val="32"/>
        </w:rPr>
      </w:pPr>
      <w:r>
        <w:rPr>
          <w:rFonts w:hint="eastAsia" w:ascii="仿宋" w:hAnsi="仿宋" w:eastAsia="仿宋" w:cs="楷体_GB2312"/>
          <w:b/>
          <w:bCs/>
          <w:sz w:val="32"/>
          <w:szCs w:val="32"/>
          <w:lang w:val="en-US" w:eastAsia="zh-CN"/>
        </w:rPr>
        <w:t>(一)</w:t>
      </w:r>
      <w:r>
        <w:rPr>
          <w:rFonts w:hint="eastAsia" w:ascii="仿宋" w:hAnsi="仿宋" w:eastAsia="仿宋" w:cs="楷体_GB2312"/>
          <w:b/>
          <w:bCs/>
          <w:sz w:val="32"/>
          <w:szCs w:val="32"/>
        </w:rPr>
        <w:t>总体绩效目标实现情况</w:t>
      </w:r>
    </w:p>
    <w:p w14:paraId="71AAC9D4">
      <w:pPr>
        <w:spacing w:line="314" w:lineRule="auto"/>
        <w:ind w:right="160" w:firstLine="640" w:firstLineChars="200"/>
        <w:rPr>
          <w:rFonts w:ascii="仿宋" w:hAnsi="仿宋" w:eastAsia="仿宋"/>
          <w:sz w:val="32"/>
          <w:szCs w:val="32"/>
        </w:rPr>
      </w:pPr>
      <w:r>
        <w:rPr>
          <w:rFonts w:hint="eastAsia" w:ascii="仿宋" w:hAnsi="仿宋" w:eastAsia="仿宋"/>
          <w:sz w:val="32"/>
          <w:szCs w:val="32"/>
        </w:rPr>
        <w:t>完成各项政府行政管理职能，促进区域经济协调发展，社会管理进一步强化，公共服务进一步提升，社会稳定度提高。减少矛盾纠纷，维护社会稳定。开展社区（村）党建和社区（村）建设，提高社区服务管理水平。加强区容区貌建设和环境治理、城建监察、数字化城市管理系统平台建设及运行等各项工作，改善人居环境，大气污染治理。组织开展其他街道办事处管理事务，积极落实各级政府下达的各项工作。</w:t>
      </w:r>
    </w:p>
    <w:p w14:paraId="7709B316">
      <w:pPr>
        <w:spacing w:line="560" w:lineRule="exact"/>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（二）分项绩效目标实现情况及指标分析</w:t>
      </w:r>
    </w:p>
    <w:p w14:paraId="33E1B43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ascii="仿宋" w:hAnsi="仿宋" w:eastAsia="仿宋" w:cs="仿宋"/>
          <w:sz w:val="32"/>
        </w:rPr>
      </w:pPr>
      <w:r>
        <w:rPr>
          <w:rFonts w:hint="eastAsia" w:ascii="仿宋" w:hAnsi="仿宋" w:eastAsia="仿宋" w:cs="仿宋"/>
          <w:sz w:val="32"/>
          <w:lang w:val="en-US" w:eastAsia="zh-CN"/>
        </w:rPr>
        <w:t>1、</w:t>
      </w:r>
      <w:r>
        <w:rPr>
          <w:rFonts w:hint="eastAsia" w:ascii="仿宋" w:hAnsi="仿宋" w:eastAsia="仿宋" w:cs="仿宋"/>
          <w:sz w:val="32"/>
        </w:rPr>
        <w:t>多措并举推动经济社会发展</w:t>
      </w:r>
    </w:p>
    <w:p w14:paraId="273BDF8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b w:val="0"/>
          <w:sz w:val="32"/>
          <w:szCs w:val="32"/>
        </w:rPr>
      </w:pPr>
      <w:r>
        <w:rPr>
          <w:rFonts w:ascii="仿宋" w:hAnsi="仿宋" w:eastAsia="仿宋"/>
          <w:sz w:val="32"/>
          <w:szCs w:val="32"/>
        </w:rPr>
        <w:t>绩效目标：</w:t>
      </w:r>
      <w:r>
        <w:rPr>
          <w:rFonts w:ascii="仿宋" w:hAnsi="仿宋" w:eastAsia="仿宋"/>
          <w:b w:val="0"/>
          <w:sz w:val="32"/>
          <w:szCs w:val="32"/>
        </w:rPr>
        <w:t>加快推进重点项目建设、助力楼宇企业发展、加强就业再就业工作、巩固“双创”工作成果。</w:t>
      </w:r>
    </w:p>
    <w:p w14:paraId="16F429C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sz w:val="32"/>
        </w:rPr>
      </w:pPr>
      <w:r>
        <w:rPr>
          <w:rFonts w:ascii="仿宋" w:hAnsi="仿宋" w:eastAsia="仿宋"/>
          <w:b w:val="0"/>
          <w:bCs/>
          <w:sz w:val="32"/>
        </w:rPr>
        <w:t>绩效指标</w:t>
      </w:r>
      <w:r>
        <w:rPr>
          <w:rFonts w:ascii="仿宋" w:hAnsi="仿宋" w:eastAsia="仿宋"/>
          <w:sz w:val="32"/>
        </w:rPr>
        <w:t>：与项目方进行对接，建立常态化联系，实行一周一走访，主动为其排忧解难；重点引进企业区域总部、职能总部，集中提升楼宇经济的价值空间；开展大众创业万众创新活动，及时将融资支持等各项企业扶持政策通报给各创业企业、人员，并公布相关政策咨询电话，帮助解决居民和企业的诉求和困难；加强辖区路面及小区环境巡察，保持干净卫生整洁环境。</w:t>
      </w:r>
    </w:p>
    <w:p w14:paraId="3828928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20" w:lineRule="exact"/>
        <w:ind w:firstLine="640"/>
        <w:rPr>
          <w:rFonts w:ascii="仿宋" w:hAnsi="仿宋" w:eastAsia="仿宋"/>
          <w:sz w:val="32"/>
        </w:rPr>
      </w:pPr>
      <w:r>
        <w:rPr>
          <w:rFonts w:hint="eastAsia" w:ascii="黑体" w:hAnsi="黑体" w:eastAsia="黑体"/>
          <w:sz w:val="32"/>
          <w:lang w:val="en-US" w:eastAsia="zh-CN"/>
        </w:rPr>
        <w:t>2、</w:t>
      </w:r>
      <w:r>
        <w:rPr>
          <w:rFonts w:hint="eastAsia" w:ascii="仿宋" w:hAnsi="仿宋" w:eastAsia="仿宋" w:cs="仿宋"/>
          <w:sz w:val="32"/>
        </w:rPr>
        <w:t>全力以赴做好安全环保维稳工作。</w:t>
      </w:r>
    </w:p>
    <w:p w14:paraId="086D5F5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20" w:lineRule="exact"/>
        <w:ind w:firstLine="640"/>
        <w:rPr>
          <w:rFonts w:ascii="仿宋" w:hAnsi="仿宋" w:eastAsia="仿宋"/>
          <w:sz w:val="32"/>
        </w:rPr>
      </w:pPr>
      <w:r>
        <w:rPr>
          <w:rFonts w:ascii="仿宋" w:hAnsi="仿宋" w:eastAsia="仿宋"/>
          <w:b w:val="0"/>
          <w:bCs/>
          <w:i w:val="0"/>
          <w:iCs w:val="0"/>
          <w:sz w:val="32"/>
        </w:rPr>
        <w:t>绩效目标：</w:t>
      </w:r>
      <w:r>
        <w:rPr>
          <w:rFonts w:ascii="仿宋" w:hAnsi="仿宋" w:eastAsia="仿宋"/>
          <w:sz w:val="32"/>
        </w:rPr>
        <w:t>继续开展辖区安全隐患大排查，确保不发生较大以上安全事故；加强大气污染治理，确保广安辖区环境空气质量得到持续改善；用心尽责化解矛盾纠纷。</w:t>
      </w:r>
    </w:p>
    <w:p w14:paraId="48F42FA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20" w:lineRule="exact"/>
        <w:ind w:firstLine="640"/>
        <w:rPr>
          <w:rFonts w:ascii="仿宋" w:hAnsi="仿宋" w:eastAsia="仿宋"/>
          <w:sz w:val="32"/>
        </w:rPr>
      </w:pPr>
      <w:r>
        <w:rPr>
          <w:rFonts w:ascii="仿宋" w:hAnsi="仿宋" w:eastAsia="仿宋"/>
          <w:b w:val="0"/>
          <w:bCs/>
          <w:sz w:val="32"/>
        </w:rPr>
        <w:t>绩效指标：</w:t>
      </w:r>
      <w:r>
        <w:rPr>
          <w:rFonts w:ascii="仿宋" w:hAnsi="仿宋" w:eastAsia="仿宋"/>
          <w:sz w:val="32"/>
        </w:rPr>
        <w:t>持之以恒抓好安全生产、消防安全和食药品安全，督促主体单位落实各项防范措施，较大以上安全事故为0；全力抓好秋冬季大气污染治理，妥善应对重污染天气，广安辖区环境空气质量得到持续改善；发展新时代“枫桥经验”，用心尽责化解矛盾纠纷，维护辖区和谐稳定，纠纷排查满意率达70%以上。</w:t>
      </w:r>
    </w:p>
    <w:p w14:paraId="03BA7911">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20" w:lineRule="exact"/>
        <w:ind w:firstLine="640"/>
        <w:jc w:val="both"/>
        <w:rPr>
          <w:rFonts w:hint="eastAsia" w:ascii="仿宋" w:hAnsi="仿宋" w:eastAsia="仿宋" w:cs="仿宋"/>
          <w:sz w:val="32"/>
        </w:rPr>
      </w:pPr>
      <w:r>
        <w:rPr>
          <w:rFonts w:hint="eastAsia" w:ascii="黑体" w:hAnsi="黑体" w:eastAsia="黑体"/>
          <w:sz w:val="32"/>
          <w:lang w:val="en-US" w:eastAsia="zh-CN"/>
        </w:rPr>
        <w:t>3、</w:t>
      </w:r>
      <w:r>
        <w:rPr>
          <w:rFonts w:hint="eastAsia" w:ascii="仿宋" w:hAnsi="仿宋" w:eastAsia="仿宋" w:cs="仿宋"/>
          <w:sz w:val="32"/>
        </w:rPr>
        <w:t>毫不放松抓好常态化疫情防控</w:t>
      </w:r>
    </w:p>
    <w:p w14:paraId="62A55434">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20" w:lineRule="exact"/>
        <w:ind w:firstLine="640"/>
        <w:jc w:val="both"/>
        <w:rPr>
          <w:rFonts w:ascii="仿宋" w:hAnsi="仿宋" w:eastAsia="仿宋"/>
          <w:sz w:val="32"/>
        </w:rPr>
      </w:pPr>
      <w:r>
        <w:rPr>
          <w:rFonts w:ascii="仿宋" w:hAnsi="仿宋" w:eastAsia="仿宋"/>
          <w:b w:val="0"/>
          <w:bCs/>
          <w:sz w:val="32"/>
        </w:rPr>
        <w:t>绩效目标：</w:t>
      </w:r>
      <w:r>
        <w:rPr>
          <w:rFonts w:ascii="仿宋" w:hAnsi="仿宋" w:eastAsia="仿宋"/>
          <w:sz w:val="32"/>
        </w:rPr>
        <w:t>巩固疫情防控向好态势，抓好把严社区防线，筑牢社区防控安全屏障。</w:t>
      </w:r>
    </w:p>
    <w:p w14:paraId="621422E2">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20" w:lineRule="exact"/>
        <w:ind w:firstLine="640"/>
        <w:jc w:val="both"/>
        <w:rPr>
          <w:rFonts w:ascii="仿宋" w:hAnsi="仿宋" w:eastAsia="仿宋"/>
          <w:sz w:val="32"/>
        </w:rPr>
      </w:pPr>
      <w:r>
        <w:rPr>
          <w:rFonts w:ascii="仿宋" w:hAnsi="仿宋" w:eastAsia="仿宋"/>
          <w:sz w:val="32"/>
        </w:rPr>
        <w:t>落实全区疫情防控常态化总体要求，切实筑牢“三道防线”。继续用好网格化管理，认真排查中高风险地区人员，发挥楼院长、志愿者作用，做好健康教育、环境卫生治理、出租房屋和外来人员管理等工作，筑牢社区防控安全屏障。</w:t>
      </w:r>
    </w:p>
    <w:p w14:paraId="460061A4">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00" w:line="620" w:lineRule="exact"/>
        <w:ind w:firstLine="640"/>
        <w:jc w:val="both"/>
        <w:rPr>
          <w:rFonts w:hint="eastAsia" w:ascii="仿宋" w:hAnsi="仿宋" w:eastAsia="仿宋" w:cs="仿宋"/>
          <w:sz w:val="32"/>
        </w:rPr>
      </w:pPr>
      <w:r>
        <w:rPr>
          <w:rFonts w:hint="eastAsia" w:ascii="黑体" w:hAnsi="黑体" w:eastAsia="黑体"/>
          <w:sz w:val="32"/>
          <w:lang w:val="en-US" w:eastAsia="zh-CN"/>
        </w:rPr>
        <w:t>4、</w:t>
      </w:r>
      <w:r>
        <w:rPr>
          <w:rFonts w:hint="eastAsia" w:ascii="仿宋" w:hAnsi="仿宋" w:eastAsia="仿宋" w:cs="仿宋"/>
          <w:sz w:val="32"/>
        </w:rPr>
        <w:t>持续深化干部队伍作风建设，推进全面从严治党</w:t>
      </w:r>
    </w:p>
    <w:p w14:paraId="74813FC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70" w:lineRule="exact"/>
        <w:ind w:firstLine="640"/>
        <w:rPr>
          <w:rFonts w:ascii="仿宋" w:hAnsi="仿宋" w:eastAsia="仿宋"/>
          <w:sz w:val="32"/>
        </w:rPr>
      </w:pPr>
      <w:r>
        <w:rPr>
          <w:rFonts w:ascii="仿宋" w:hAnsi="仿宋" w:eastAsia="仿宋"/>
          <w:b w:val="0"/>
          <w:bCs/>
          <w:sz w:val="32"/>
        </w:rPr>
        <w:t>绩效目标：</w:t>
      </w:r>
      <w:r>
        <w:rPr>
          <w:rFonts w:ascii="仿宋" w:hAnsi="仿宋" w:eastAsia="仿宋"/>
          <w:sz w:val="32"/>
        </w:rPr>
        <w:t>紧紧围绕“三型”机关创建，进一步振奋精神，改进作风，强化政治担当，扣紧责任链条，坚持零容忍的态度不变。</w:t>
      </w:r>
    </w:p>
    <w:p w14:paraId="35BE386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70" w:lineRule="exact"/>
        <w:ind w:firstLine="640"/>
        <w:rPr>
          <w:rFonts w:ascii="仿宋" w:hAnsi="仿宋" w:eastAsia="仿宋"/>
          <w:sz w:val="32"/>
          <w:szCs w:val="32"/>
        </w:rPr>
      </w:pPr>
      <w:r>
        <w:rPr>
          <w:rFonts w:ascii="仿宋" w:hAnsi="仿宋" w:eastAsia="仿宋"/>
          <w:b w:val="0"/>
          <w:bCs/>
          <w:sz w:val="32"/>
        </w:rPr>
        <w:t>绩效指标：</w:t>
      </w:r>
      <w:r>
        <w:rPr>
          <w:rFonts w:ascii="仿宋" w:hAnsi="仿宋" w:eastAsia="仿宋"/>
          <w:sz w:val="32"/>
        </w:rPr>
        <w:t>不折不扣落实巡视整改工作，彻底整改；街道党政班子成员工作重心下沉，每周到分包社区进行现场办公，接待群众来访；深入开展“双问计”活动了解实情、寻找智慧，对提出的意见建议对照自省、虚心接纳，对反映的困难或诉求靠前服务、积极解决；街道社区作风建设进一步加强，全体工作人员对标对表先进单位，以争先进位的劲头和勇气，持之以恒做好各项工作；坚持党工委书记作为第一责任人主抓全面从严治党工作，党工委每2个月召开1次专题会议，一年专题会议不少于5次；严格执行“三会一课”、民主生活会等制度，党小组会、支部委员会每月一次，党员大会、党课每季度一次，民主生活会按上级要求召开，推动党支部组织生活正常化、规范化；严肃党内政治生活。</w:t>
      </w:r>
    </w:p>
    <w:p w14:paraId="1653A7C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78C4A4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23044F6F">
      <w:pPr>
        <w:widowControl w:val="0"/>
        <w:wordWrap/>
        <w:spacing w:line="560" w:lineRule="exact"/>
        <w:ind w:right="0" w:firstLine="320" w:firstLineChars="100"/>
        <w:textAlignment w:val="auto"/>
        <w:outlineLvl w:val="9"/>
        <w:rPr>
          <w:rFonts w:hint="eastAsia" w:ascii="仿宋" w:hAnsi="仿宋" w:eastAsia="仿宋"/>
          <w:sz w:val="32"/>
          <w:szCs w:val="32"/>
        </w:rPr>
      </w:pPr>
      <w:r>
        <w:rPr>
          <w:rFonts w:ascii="仿宋" w:hAnsi="仿宋" w:eastAsia="仿宋"/>
          <w:sz w:val="32"/>
        </w:rPr>
        <w:t>评价小组通过对相关文件的解读和现场调研，采用问卷</w:t>
      </w:r>
      <w:r>
        <w:rPr>
          <w:rFonts w:ascii="仿宋" w:hAnsi="仿宋" w:eastAsia="仿宋"/>
          <w:sz w:val="31"/>
        </w:rPr>
        <w:t>调查、访谈、核查财务数据、填报基础数据表等方式，采集相关信息和数据并进行统计、汇总和分析，按照评价工作方</w:t>
      </w:r>
      <w:bookmarkStart w:id="1" w:name="page13"/>
      <w:bookmarkEnd w:id="1"/>
      <w:r>
        <w:rPr>
          <w:rFonts w:ascii="仿宋" w:hAnsi="仿宋" w:eastAsia="仿宋"/>
          <w:sz w:val="31"/>
        </w:rPr>
        <w:t>案确定的指标体系及评分标准，对</w:t>
      </w:r>
      <w:r>
        <w:rPr>
          <w:rFonts w:hint="eastAsia" w:ascii="仿宋" w:hAnsi="仿宋" w:eastAsia="仿宋"/>
          <w:sz w:val="31"/>
          <w:lang w:eastAsia="zh-CN"/>
        </w:rPr>
        <w:t>经费项目</w:t>
      </w:r>
      <w:r>
        <w:rPr>
          <w:rFonts w:ascii="仿宋" w:hAnsi="仿宋" w:eastAsia="仿宋"/>
          <w:sz w:val="31"/>
        </w:rPr>
        <w:t>进行客观、公正地独立评价</w:t>
      </w:r>
      <w:r>
        <w:rPr>
          <w:rFonts w:hint="eastAsia" w:ascii="仿宋" w:hAnsi="仿宋" w:eastAsia="仿宋"/>
          <w:sz w:val="31"/>
          <w:lang w:eastAsia="zh-CN"/>
        </w:rPr>
        <w:t>，部门整体支出绩效</w:t>
      </w:r>
      <w:r>
        <w:rPr>
          <w:rFonts w:ascii="仿宋" w:hAnsi="仿宋" w:eastAsia="仿宋"/>
          <w:sz w:val="31"/>
        </w:rPr>
        <w:t>最终得分</w:t>
      </w:r>
      <w:r>
        <w:rPr>
          <w:rFonts w:hint="eastAsia" w:ascii="仿宋" w:hAnsi="仿宋" w:eastAsia="仿宋"/>
          <w:sz w:val="31"/>
          <w:lang w:val="en-US" w:eastAsia="zh-CN"/>
        </w:rPr>
        <w:t>93</w:t>
      </w:r>
      <w:r>
        <w:rPr>
          <w:rFonts w:ascii="仿宋" w:hAnsi="仿宋" w:eastAsia="仿宋"/>
          <w:sz w:val="31"/>
        </w:rPr>
        <w:t>分，绩效评价等级为“</w:t>
      </w:r>
      <w:r>
        <w:rPr>
          <w:rFonts w:hint="eastAsia" w:ascii="仿宋" w:hAnsi="仿宋" w:eastAsia="仿宋"/>
          <w:sz w:val="31"/>
          <w:lang w:eastAsia="zh-CN"/>
        </w:rPr>
        <w:t>优秀</w:t>
      </w:r>
      <w:r>
        <w:rPr>
          <w:rFonts w:ascii="仿宋" w:hAnsi="仿宋" w:eastAsia="仿宋"/>
          <w:sz w:val="31"/>
        </w:rPr>
        <w:t>”。</w:t>
      </w:r>
    </w:p>
    <w:p w14:paraId="47749C2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FD5BCB7">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7BD3503">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一是该项目绩效评价指标设定时，一些效果指标难以量化，如社会效益指标、可持续影响指标，这对全面反映项目绩效可能存在一定的局限性。</w:t>
      </w:r>
    </w:p>
    <w:p w14:paraId="0A8EB299">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楷体" w:hAnsi="楷体" w:eastAsia="楷体"/>
          <w:bCs/>
          <w:sz w:val="32"/>
          <w:szCs w:val="32"/>
        </w:rPr>
      </w:pPr>
      <w:r>
        <w:rPr>
          <w:rFonts w:hint="eastAsia" w:ascii="仿宋" w:hAnsi="仿宋" w:eastAsia="仿宋" w:cs="仿宋"/>
          <w:sz w:val="32"/>
          <w:szCs w:val="32"/>
          <w:lang w:val="en-US" w:eastAsia="zh-CN"/>
        </w:rPr>
        <w:t>二是部分项目预算执行率偏低</w:t>
      </w:r>
      <w:r>
        <w:rPr>
          <w:rFonts w:hint="eastAsia" w:ascii="仿宋_GB2312" w:hAnsi="仿宋_GB2312" w:eastAsia="仿宋_GB2312" w:cs="仿宋_GB2312"/>
          <w:i w:val="0"/>
          <w:caps w:val="0"/>
          <w:color w:val="auto"/>
          <w:spacing w:val="0"/>
          <w:sz w:val="32"/>
          <w:szCs w:val="32"/>
          <w:shd w:val="clear" w:color="auto" w:fill="auto"/>
          <w:lang w:eastAsia="zh-CN"/>
        </w:rPr>
        <w:t>。</w:t>
      </w:r>
    </w:p>
    <w:p w14:paraId="783C280A">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CCC38E2">
      <w:pPr>
        <w:spacing w:line="6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rPr>
        <w:t>下一步将继续加强督导，加强日常监控工作。街道</w:t>
      </w:r>
      <w:r>
        <w:rPr>
          <w:rFonts w:hint="eastAsia" w:ascii="仿宋_GB2312" w:hAnsi="仿宋_GB2312" w:eastAsia="仿宋_GB2312" w:cs="仿宋_GB2312"/>
          <w:sz w:val="32"/>
          <w:szCs w:val="32"/>
          <w:lang w:eastAsia="zh-CN"/>
        </w:rPr>
        <w:t>办将</w:t>
      </w:r>
      <w:r>
        <w:rPr>
          <w:rFonts w:hint="eastAsia" w:ascii="仿宋_GB2312" w:hAnsi="仿宋_GB2312" w:eastAsia="仿宋_GB2312" w:cs="仿宋_GB2312"/>
          <w:sz w:val="32"/>
          <w:szCs w:val="32"/>
        </w:rPr>
        <w:t>严格执行办公专项经费使用范围和管理审批，做好项目的制定、审批、实施等把关工作。同时街道将不定期开展</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经费的收支、使用和管理情况检查，确保专项资金及时到位并在预算年限内完成全部支出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更好的服务于</w:t>
      </w:r>
      <w:r>
        <w:rPr>
          <w:rFonts w:hint="eastAsia" w:ascii="仿宋_GB2312" w:hAnsi="仿宋_GB2312" w:eastAsia="仿宋_GB2312" w:cs="仿宋_GB2312"/>
          <w:sz w:val="32"/>
          <w:szCs w:val="32"/>
          <w:lang w:eastAsia="zh-CN"/>
        </w:rPr>
        <w:t>辖区</w:t>
      </w:r>
      <w:r>
        <w:rPr>
          <w:rFonts w:hint="eastAsia" w:ascii="仿宋_GB2312" w:hAnsi="仿宋_GB2312" w:eastAsia="仿宋_GB2312" w:cs="仿宋_GB2312"/>
          <w:sz w:val="32"/>
          <w:szCs w:val="32"/>
        </w:rPr>
        <w:t>居民。</w:t>
      </w:r>
    </w:p>
    <w:p w14:paraId="2FE9A028">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EC288F1-5FAC-4BFD-9BD7-6362FABD7FEE}"/>
  </w:font>
  <w:font w:name="黑体">
    <w:panose1 w:val="02010609060101010101"/>
    <w:charset w:val="86"/>
    <w:family w:val="auto"/>
    <w:pitch w:val="default"/>
    <w:sig w:usb0="800002BF" w:usb1="38CF7CFA" w:usb2="00000016" w:usb3="00000000" w:csb0="00040001" w:csb1="00000000"/>
    <w:embedRegular r:id="rId2" w:fontKey="{247F55C8-0A8E-4B6C-8C22-686C64F1D94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panose1 w:val="02000000000000000000"/>
    <w:charset w:val="86"/>
    <w:family w:val="auto"/>
    <w:pitch w:val="default"/>
    <w:sig w:usb0="A00002BF" w:usb1="38CF7CFA" w:usb2="00082016" w:usb3="00000000" w:csb0="00040001" w:csb1="00000000"/>
    <w:embedRegular r:id="rId3" w:fontKey="{891A1040-7D98-4923-AFA9-26F4868F7F56}"/>
  </w:font>
  <w:font w:name="仿宋_GB2312">
    <w:panose1 w:val="02010609030101010101"/>
    <w:charset w:val="86"/>
    <w:family w:val="modern"/>
    <w:pitch w:val="default"/>
    <w:sig w:usb0="00000001" w:usb1="080E0000" w:usb2="00000000" w:usb3="00000000" w:csb0="00040000" w:csb1="00000000"/>
    <w:embedRegular r:id="rId4" w:fontKey="{C8BD970E-927C-4BB9-A51E-FC7B1527A788}"/>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embedRegular r:id="rId5" w:fontKey="{68665687-6C46-46BC-B1E8-E7330232C12E}"/>
  </w:font>
  <w:font w:name="楷体">
    <w:panose1 w:val="02010609060101010101"/>
    <w:charset w:val="86"/>
    <w:family w:val="modern"/>
    <w:pitch w:val="default"/>
    <w:sig w:usb0="800002BF" w:usb1="38CF7CFA" w:usb2="00000016" w:usb3="00000000" w:csb0="00040001" w:csb1="00000000"/>
    <w:embedRegular r:id="rId6" w:fontKey="{D9967162-F142-432D-AC1E-516E66151D5F}"/>
  </w:font>
  <w:font w:name="楷体_GB2312">
    <w:panose1 w:val="02010609030101010101"/>
    <w:charset w:val="86"/>
    <w:family w:val="auto"/>
    <w:pitch w:val="default"/>
    <w:sig w:usb0="00000001" w:usb1="080E0000" w:usb2="00000000" w:usb3="00000000" w:csb0="00040000" w:csb1="00000000"/>
    <w:embedRegular r:id="rId7" w:fontKey="{D0B6385B-E952-4DF8-91E3-D58550061D3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396DF3">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24FB0B1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37E0E0B7"/>
    <w:multiLevelType w:val="singleLevel"/>
    <w:tmpl w:val="37E0E0B7"/>
    <w:lvl w:ilvl="0" w:tentative="0">
      <w:start w:val="2"/>
      <w:numFmt w:val="chineseCounting"/>
      <w:suff w:val="nothing"/>
      <w:lvlText w:val="（%1）"/>
      <w:lvlJc w:val="left"/>
      <w:pPr>
        <w:ind w:left="-1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5EF8421"/>
    <w:multiLevelType w:val="singleLevel"/>
    <w:tmpl w:val="65EF8421"/>
    <w:lvl w:ilvl="0" w:tentative="0">
      <w:start w:val="2"/>
      <w:numFmt w:val="decimal"/>
      <w:suff w:val="nothing"/>
      <w:lvlText w:val="%1．"/>
      <w:lvlJc w:val="left"/>
      <w:pPr>
        <w:ind w:left="-1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D8C5FEA"/>
    <w:rsid w:val="220A0D41"/>
    <w:rsid w:val="248C197D"/>
    <w:rsid w:val="252959AF"/>
    <w:rsid w:val="269618B1"/>
    <w:rsid w:val="277A6671"/>
    <w:rsid w:val="292D35B7"/>
    <w:rsid w:val="32540311"/>
    <w:rsid w:val="33EB6CFF"/>
    <w:rsid w:val="35A12947"/>
    <w:rsid w:val="35F95E02"/>
    <w:rsid w:val="37387040"/>
    <w:rsid w:val="3A3E5E3C"/>
    <w:rsid w:val="3B625C0A"/>
    <w:rsid w:val="3CEE1963"/>
    <w:rsid w:val="4C9C27FE"/>
    <w:rsid w:val="512260B4"/>
    <w:rsid w:val="52BD6ACB"/>
    <w:rsid w:val="55537534"/>
    <w:rsid w:val="55814E10"/>
    <w:rsid w:val="561A74F1"/>
    <w:rsid w:val="597244E8"/>
    <w:rsid w:val="59AA682C"/>
    <w:rsid w:val="5EB71C30"/>
    <w:rsid w:val="6636656B"/>
    <w:rsid w:val="66AF0CE5"/>
    <w:rsid w:val="6AC537CF"/>
    <w:rsid w:val="6B8C2A78"/>
    <w:rsid w:val="6E5B14A6"/>
    <w:rsid w:val="711B255E"/>
    <w:rsid w:val="79DD5C7F"/>
    <w:rsid w:val="7BB51E06"/>
    <w:rsid w:val="7C08773A"/>
    <w:rsid w:val="7C387F7C"/>
    <w:rsid w:val="7C9603F6"/>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单元格样式5"/>
    <w:basedOn w:val="1"/>
    <w:qFormat/>
    <w:uiPriority w:val="0"/>
    <w:rPr>
      <w:rFonts w:ascii="方正书宋_GBK" w:hAnsi="方正书宋_GBK" w:cs="宋体"/>
      <w:b/>
      <w:bCs/>
      <w:szCs w:val="21"/>
    </w:rPr>
  </w:style>
  <w:style w:type="paragraph" w:customStyle="1" w:styleId="8">
    <w:name w:val="单元格样式4"/>
    <w:basedOn w:val="1"/>
    <w:qFormat/>
    <w:uiPriority w:val="0"/>
    <w:pPr>
      <w:jc w:val="right"/>
    </w:pPr>
    <w:rPr>
      <w:rFonts w:ascii="方正书宋_GBK" w:hAnsi="方正书宋_GBK" w:cs="宋体"/>
      <w:szCs w:val="21"/>
    </w:rPr>
  </w:style>
  <w:style w:type="paragraph" w:customStyle="1" w:styleId="9">
    <w:name w:val="单元格样式1"/>
    <w:basedOn w:val="1"/>
    <w:qFormat/>
    <w:uiPriority w:val="0"/>
    <w:pPr>
      <w:jc w:val="center"/>
    </w:pPr>
    <w:rPr>
      <w:rFonts w:ascii="方正书宋_GBK" w:hAnsi="方正书宋_GBK" w:cs="宋体"/>
      <w:b/>
      <w:bCs/>
      <w:szCs w:val="21"/>
    </w:rPr>
  </w:style>
  <w:style w:type="paragraph" w:customStyle="1" w:styleId="10">
    <w:name w:val="单元格样式2_b8e4b5b1-6613-4b4d-80f7-fe15164e3b68"/>
    <w:basedOn w:val="1"/>
    <w:qFormat/>
    <w:uiPriority w:val="0"/>
    <w:rPr>
      <w:rFonts w:ascii="方正书宋_GBK" w:hAnsi="方正书宋_GBK" w:cs="宋体"/>
      <w:szCs w:val="21"/>
    </w:rPr>
  </w:style>
  <w:style w:type="paragraph" w:customStyle="1" w:styleId="11">
    <w:name w:val="单元格样式2"/>
    <w:basedOn w:val="1"/>
    <w:qFormat/>
    <w:uiPriority w:val="0"/>
    <w:rPr>
      <w:rFonts w:ascii="方正书宋_GBK" w:hAnsi="方正书宋_GBK" w:cs="宋体"/>
      <w:szCs w:val="21"/>
    </w:rPr>
  </w:style>
  <w:style w:type="paragraph" w:customStyle="1" w:styleId="12">
    <w:name w:val="单元格样式3"/>
    <w:basedOn w:val="1"/>
    <w:qFormat/>
    <w:uiPriority w:val="0"/>
    <w:pPr>
      <w:jc w:val="center"/>
    </w:pPr>
    <w:rPr>
      <w:rFonts w:ascii="方正书宋_GBK" w:hAnsi="方正书宋_GBK" w:cs="宋体"/>
      <w:szCs w:val="21"/>
    </w:rPr>
  </w:style>
  <w:style w:type="paragraph" w:customStyle="1" w:styleId="13">
    <w:name w:val="普通(网站)1"/>
    <w:qFormat/>
    <w:uiPriority w:val="2"/>
    <w:pPr>
      <w:widowControl w:val="0"/>
      <w:spacing w:after="0" w:line="240" w:lineRule="atLeast"/>
      <w:jc w:val="left"/>
    </w:pPr>
    <w:rPr>
      <w:rFonts w:ascii="Calibri" w:hAnsi="Calibri" w:eastAsia="Calibri" w:cs="黑体"/>
      <w:kern w:val="2"/>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4490</Words>
  <Characters>4621</Characters>
  <Lines>4</Lines>
  <Paragraphs>1</Paragraphs>
  <TotalTime>10</TotalTime>
  <ScaleCrop>false</ScaleCrop>
  <LinksUpToDate>false</LinksUpToDate>
  <CharactersWithSpaces>4650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栗子</cp:lastModifiedBy>
  <cp:lastPrinted>2022-01-19T07:24:00Z</cp:lastPrinted>
  <dcterms:modified xsi:type="dcterms:W3CDTF">2026-04-13T03:41:06Z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4A19074DC8414FE6B62EBFA35238C9D8</vt:lpwstr>
  </property>
  <property fmtid="{D5CDD505-2E9C-101B-9397-08002B2CF9AE}" pid="4" name="KSOTemplateDocerSaveRecord">
    <vt:lpwstr>eyJoZGlkIjoiNTFjZjY0YTZhZmQ0ZWMwYjlhN2NkNmNiZjA1NTlmZDYiLCJ1c2VySWQiOiI1NzMyMDg0NTQifQ==</vt:lpwstr>
  </property>
</Properties>
</file>