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5BF6">
      <w:pPr>
        <w:adjustRightInd w:val="0"/>
        <w:snapToGrid w:val="0"/>
        <w:spacing w:line="560" w:lineRule="exact"/>
        <w:rPr>
          <w:rFonts w:hint="eastAsia" w:ascii="仿宋_GB2312" w:eastAsia="仿宋_GB2312"/>
          <w:sz w:val="32"/>
          <w:szCs w:val="32"/>
          <w:lang w:val="en-US" w:eastAsia="zh-CN"/>
        </w:rPr>
      </w:pPr>
      <w:r>
        <w:rPr>
          <w:rFonts w:hint="eastAsia" w:ascii="仿宋_GB2312" w:eastAsia="仿宋_GB2312"/>
          <w:sz w:val="32"/>
          <w:szCs w:val="32"/>
        </w:rPr>
        <w:t>附件</w:t>
      </w:r>
      <w:r>
        <w:rPr>
          <w:rFonts w:hint="eastAsia" w:ascii="仿宋_GB2312" w:eastAsia="仿宋_GB2312"/>
          <w:sz w:val="32"/>
          <w:szCs w:val="32"/>
          <w:lang w:val="en-US" w:eastAsia="zh-CN"/>
        </w:rPr>
        <w:t>3</w:t>
      </w:r>
    </w:p>
    <w:p w14:paraId="0FFC9833">
      <w:pPr>
        <w:spacing w:line="560" w:lineRule="exact"/>
        <w:jc w:val="center"/>
        <w:rPr>
          <w:rFonts w:ascii="宋体" w:hAnsi="宋体" w:cs="宋体"/>
          <w:b/>
          <w:bCs/>
          <w:sz w:val="44"/>
          <w:szCs w:val="44"/>
        </w:rPr>
      </w:pPr>
    </w:p>
    <w:p w14:paraId="5F97B508">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西兆通镇政府</w:t>
      </w:r>
    </w:p>
    <w:p w14:paraId="3439DBFA">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0D60C392">
      <w:pPr>
        <w:spacing w:line="560" w:lineRule="exact"/>
        <w:jc w:val="center"/>
        <w:rPr>
          <w:rFonts w:ascii="华文楷体" w:eastAsia="华文楷体"/>
          <w:sz w:val="32"/>
          <w:szCs w:val="32"/>
        </w:rPr>
      </w:pPr>
    </w:p>
    <w:p w14:paraId="362DEDAF">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w:t>
      </w:r>
      <w:r>
        <w:rPr>
          <w:rFonts w:hint="eastAsia" w:ascii="仿宋" w:hAnsi="仿宋" w:eastAsia="仿宋"/>
          <w:sz w:val="32"/>
          <w:szCs w:val="32"/>
          <w:lang w:eastAsia="zh-CN"/>
        </w:rPr>
        <w:t>区</w:t>
      </w:r>
      <w:r>
        <w:rPr>
          <w:rFonts w:hint="eastAsia" w:ascii="仿宋" w:hAnsi="仿宋" w:eastAsia="仿宋"/>
          <w:sz w:val="32"/>
          <w:szCs w:val="32"/>
        </w:rPr>
        <w:t>委</w:t>
      </w:r>
      <w:r>
        <w:rPr>
          <w:rFonts w:hint="eastAsia" w:ascii="仿宋" w:hAnsi="仿宋" w:eastAsia="仿宋"/>
          <w:sz w:val="32"/>
          <w:szCs w:val="32"/>
          <w:lang w:eastAsia="zh-CN"/>
        </w:rPr>
        <w:t>区</w:t>
      </w:r>
      <w:r>
        <w:rPr>
          <w:rFonts w:hint="eastAsia" w:ascii="仿宋" w:hAnsi="仿宋" w:eastAsia="仿宋"/>
          <w:sz w:val="32"/>
          <w:szCs w:val="32"/>
        </w:rPr>
        <w:t>政府《关于全面落实预算绩效管理的实施意见》（</w:t>
      </w:r>
      <w:r>
        <w:rPr>
          <w:rFonts w:hint="eastAsia" w:ascii="仿宋" w:hAnsi="仿宋" w:eastAsia="仿宋"/>
          <w:sz w:val="32"/>
          <w:szCs w:val="32"/>
          <w:lang w:eastAsia="zh-CN"/>
        </w:rPr>
        <w:t>长</w:t>
      </w:r>
      <w:r>
        <w:rPr>
          <w:rFonts w:hint="eastAsia" w:ascii="仿宋" w:hAnsi="仿宋" w:eastAsia="仿宋"/>
          <w:sz w:val="32"/>
          <w:szCs w:val="32"/>
        </w:rPr>
        <w:t>发﹝2019﹞8号）文件精神，遵循“科学性、规范性、客观性和公正性”的原则，对</w:t>
      </w:r>
      <w:r>
        <w:rPr>
          <w:rFonts w:hint="eastAsia" w:ascii="仿宋" w:hAnsi="仿宋" w:eastAsia="仿宋"/>
          <w:sz w:val="32"/>
          <w:szCs w:val="32"/>
          <w:lang w:val="en-US" w:eastAsia="zh-CN"/>
        </w:rPr>
        <w:t>西兆通镇政府</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60C15557">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A16790">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72C1252C">
      <w:pPr>
        <w:snapToGrid w:val="0"/>
        <w:spacing w:line="560" w:lineRule="exact"/>
        <w:ind w:firstLine="643" w:firstLineChars="200"/>
        <w:rPr>
          <w:rFonts w:ascii="仿宋" w:hAnsi="仿宋" w:eastAsia="仿宋"/>
          <w:b/>
          <w:sz w:val="32"/>
          <w:szCs w:val="32"/>
        </w:rPr>
      </w:pPr>
      <w:r>
        <w:rPr>
          <w:rFonts w:hint="eastAsia" w:ascii="仿宋" w:hAnsi="仿宋" w:eastAsia="仿宋"/>
          <w:b/>
          <w:sz w:val="32"/>
          <w:szCs w:val="32"/>
        </w:rPr>
        <w:t>1．主要职能。</w:t>
      </w:r>
    </w:p>
    <w:p w14:paraId="6479E2C6">
      <w:pPr>
        <w:spacing w:line="560" w:lineRule="exact"/>
        <w:rPr>
          <w:rFonts w:ascii="仿宋" w:hAnsi="仿宋" w:eastAsia="仿宋"/>
          <w:sz w:val="32"/>
        </w:rPr>
      </w:pPr>
      <w:r>
        <w:rPr>
          <w:rFonts w:hint="eastAsia" w:ascii="仿宋" w:hAnsi="仿宋" w:eastAsia="仿宋"/>
          <w:sz w:val="32"/>
        </w:rPr>
        <w:t xml:space="preserve">    一、宣传贯彻执行党的路线方针政策和党中央、上级党组织及镇党员代表大会（党员大会）的决议。贯彻执行法律、法规、规章和上级人民代表大会及其常务委员会决议及上级政府的决定、命令，执行本级人民代表大会的决议。</w:t>
      </w:r>
    </w:p>
    <w:p w14:paraId="38AF40ED">
      <w:pPr>
        <w:spacing w:line="560" w:lineRule="exact"/>
        <w:rPr>
          <w:rFonts w:ascii="仿宋" w:hAnsi="仿宋" w:eastAsia="仿宋"/>
          <w:sz w:val="32"/>
        </w:rPr>
      </w:pPr>
      <w:r>
        <w:rPr>
          <w:rFonts w:hint="eastAsia" w:ascii="仿宋" w:hAnsi="仿宋" w:eastAsia="仿宋"/>
          <w:sz w:val="32"/>
        </w:rPr>
        <w:t xml:space="preserve">    二、讨论和决定镇经济建设、政治建设、文化建设、社会建设、生态文明建设和党的建设以及乡村振兴中的重大问题。</w:t>
      </w:r>
    </w:p>
    <w:p w14:paraId="0C1C6F2E">
      <w:pPr>
        <w:spacing w:line="560" w:lineRule="exact"/>
        <w:rPr>
          <w:rFonts w:ascii="仿宋" w:hAnsi="仿宋" w:eastAsia="仿宋"/>
          <w:sz w:val="32"/>
        </w:rPr>
      </w:pPr>
      <w:r>
        <w:rPr>
          <w:rFonts w:hint="eastAsia" w:ascii="仿宋" w:hAnsi="仿宋" w:eastAsia="仿宋"/>
          <w:sz w:val="32"/>
        </w:rPr>
        <w:t xml:space="preserve">    三、组织召开本级人民代表大会，充分行使重大事项决定权、监督权和任免权，做好人大代表共和，联系选民、反映群众意见和要求。</w:t>
      </w:r>
    </w:p>
    <w:p w14:paraId="3FC3002E">
      <w:pPr>
        <w:spacing w:line="560" w:lineRule="exact"/>
        <w:rPr>
          <w:rFonts w:ascii="仿宋" w:hAnsi="仿宋" w:eastAsia="仿宋"/>
          <w:sz w:val="32"/>
        </w:rPr>
      </w:pPr>
      <w:r>
        <w:rPr>
          <w:rFonts w:hint="eastAsia" w:ascii="仿宋" w:hAnsi="仿宋" w:eastAsia="仿宋"/>
          <w:sz w:val="32"/>
        </w:rPr>
        <w:t xml:space="preserve">    四、执行本行政区域内的经济和社会发展计划、预算，管理本行政区域内的经济、教育 、科学、文化、卫生健康、体育事业和财政、统计、民政、司法行政等行政工作。落实本行政区域内发展规划、专项规划、区域规划、国土空间规划。</w:t>
      </w:r>
    </w:p>
    <w:p w14:paraId="23A602B3">
      <w:pPr>
        <w:spacing w:line="560" w:lineRule="exact"/>
        <w:rPr>
          <w:rFonts w:ascii="仿宋" w:hAnsi="仿宋" w:eastAsia="仿宋"/>
          <w:sz w:val="32"/>
        </w:rPr>
      </w:pPr>
      <w:r>
        <w:rPr>
          <w:rFonts w:hint="eastAsia" w:ascii="仿宋" w:hAnsi="仿宋" w:eastAsia="仿宋"/>
          <w:sz w:val="32"/>
        </w:rPr>
        <w:t xml:space="preserve">    五、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08E057BC">
      <w:pPr>
        <w:spacing w:line="560" w:lineRule="exact"/>
        <w:rPr>
          <w:rFonts w:ascii="仿宋" w:hAnsi="仿宋" w:eastAsia="仿宋"/>
          <w:sz w:val="32"/>
        </w:rPr>
      </w:pPr>
      <w:r>
        <w:rPr>
          <w:rFonts w:hint="eastAsia" w:ascii="仿宋" w:hAnsi="仿宋" w:eastAsia="仿宋"/>
          <w:sz w:val="32"/>
        </w:rPr>
        <w:t xml:space="preserve">    六、加强镇党委自身建设和村党组织建设，以及其他隶属镇党委的党组织建设，抓好发展党员工作，加强党员队伍建设。维护和执行党的纪律，监督党员干部和其他任何工作人员严格遵守国家法律法规。</w:t>
      </w:r>
    </w:p>
    <w:p w14:paraId="3BC329B2">
      <w:pPr>
        <w:spacing w:line="560" w:lineRule="exact"/>
        <w:rPr>
          <w:rFonts w:ascii="仿宋" w:hAnsi="仿宋" w:eastAsia="仿宋"/>
          <w:sz w:val="32"/>
        </w:rPr>
      </w:pPr>
      <w:r>
        <w:rPr>
          <w:rFonts w:hint="eastAsia" w:ascii="仿宋" w:hAnsi="仿宋" w:eastAsia="仿宋"/>
          <w:sz w:val="32"/>
        </w:rPr>
        <w:t xml:space="preserve">    七、按照干部管理权限，负责对干部的教育、培训、选拔、考核和监督工作。协助管理上级有关部门驻镇单位的干部。做好人才服务工作。</w:t>
      </w:r>
    </w:p>
    <w:p w14:paraId="018A3C72">
      <w:pPr>
        <w:spacing w:line="560" w:lineRule="exact"/>
        <w:rPr>
          <w:rFonts w:ascii="仿宋" w:hAnsi="仿宋" w:eastAsia="仿宋"/>
          <w:sz w:val="32"/>
        </w:rPr>
      </w:pPr>
      <w:r>
        <w:rPr>
          <w:rFonts w:hint="eastAsia" w:ascii="仿宋" w:hAnsi="仿宋" w:eastAsia="仿宋"/>
          <w:sz w:val="32"/>
        </w:rPr>
        <w:t xml:space="preserve">    八、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14:paraId="4CC3DB26">
      <w:pPr>
        <w:spacing w:line="560" w:lineRule="exact"/>
        <w:rPr>
          <w:rFonts w:ascii="仿宋" w:hAnsi="仿宋" w:eastAsia="仿宋"/>
          <w:sz w:val="32"/>
        </w:rPr>
      </w:pPr>
      <w:r>
        <w:rPr>
          <w:rFonts w:hint="eastAsia" w:ascii="仿宋" w:hAnsi="仿宋" w:eastAsia="仿宋"/>
          <w:sz w:val="32"/>
        </w:rPr>
        <w:t xml:space="preserve">    九、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68ACBC0D">
      <w:pPr>
        <w:spacing w:line="560" w:lineRule="exact"/>
        <w:rPr>
          <w:rFonts w:ascii="仿宋" w:hAnsi="仿宋" w:eastAsia="仿宋"/>
          <w:sz w:val="32"/>
        </w:rPr>
      </w:pPr>
      <w:r>
        <w:rPr>
          <w:rFonts w:hint="eastAsia" w:ascii="仿宋" w:hAnsi="仿宋" w:eastAsia="仿宋"/>
          <w:sz w:val="32"/>
        </w:rPr>
        <w:t xml:space="preserve">    十、承办上级党委、政府、人大等交办的其他事项。</w:t>
      </w:r>
    </w:p>
    <w:p w14:paraId="019BBA6B">
      <w:pPr>
        <w:numPr>
          <w:ilvl w:val="0"/>
          <w:numId w:val="1"/>
        </w:numPr>
        <w:snapToGrid w:val="0"/>
        <w:spacing w:line="560" w:lineRule="exact"/>
        <w:ind w:firstLine="643" w:firstLineChars="200"/>
        <w:rPr>
          <w:rFonts w:ascii="仿宋" w:hAnsi="仿宋" w:eastAsia="仿宋"/>
          <w:b/>
          <w:sz w:val="32"/>
          <w:szCs w:val="32"/>
        </w:rPr>
      </w:pPr>
      <w:r>
        <w:rPr>
          <w:rFonts w:hint="eastAsia" w:ascii="仿宋" w:hAnsi="仿宋" w:eastAsia="仿宋"/>
          <w:b/>
          <w:sz w:val="32"/>
          <w:szCs w:val="32"/>
        </w:rPr>
        <w:t>机构情况，包括当年变动情况及原因。</w:t>
      </w:r>
    </w:p>
    <w:p w14:paraId="7959C18D">
      <w:pPr>
        <w:spacing w:line="560" w:lineRule="exact"/>
        <w:ind w:firstLine="640" w:firstLineChars="200"/>
        <w:rPr>
          <w:rFonts w:ascii="仿宋" w:hAnsi="仿宋" w:eastAsia="仿宋"/>
          <w:sz w:val="32"/>
          <w:szCs w:val="32"/>
        </w:rPr>
      </w:pPr>
      <w:r>
        <w:rPr>
          <w:rFonts w:hint="eastAsia" w:ascii="仿宋" w:hAnsi="仿宋" w:eastAsia="仿宋"/>
          <w:sz w:val="32"/>
          <w:szCs w:val="32"/>
        </w:rPr>
        <w:t>从决算编报单位构成看，纳入202</w:t>
      </w:r>
      <w:r>
        <w:rPr>
          <w:rFonts w:hint="eastAsia" w:ascii="仿宋" w:hAnsi="仿宋" w:eastAsia="仿宋"/>
          <w:sz w:val="32"/>
          <w:szCs w:val="32"/>
          <w:lang w:val="en-US" w:eastAsia="zh-CN"/>
        </w:rPr>
        <w:t>5</w:t>
      </w:r>
      <w:r>
        <w:rPr>
          <w:rFonts w:hint="eastAsia" w:ascii="仿宋" w:hAnsi="仿宋" w:eastAsia="仿宋"/>
          <w:sz w:val="32"/>
          <w:szCs w:val="32"/>
        </w:rPr>
        <w:t xml:space="preserve">年度本部门决算汇编范围的独立核算单位（以下简称“单位”）共1 个，具体情况如下： </w:t>
      </w:r>
    </w:p>
    <w:tbl>
      <w:tblPr>
        <w:tblStyle w:val="7"/>
        <w:tblpPr w:leftFromText="180" w:rightFromText="180" w:vertAnchor="text" w:horzAnchor="page" w:tblpX="2120" w:tblpY="42"/>
        <w:tblOverlap w:val="never"/>
        <w:tblW w:w="8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128"/>
        <w:gridCol w:w="2444"/>
        <w:gridCol w:w="1644"/>
      </w:tblGrid>
      <w:tr w14:paraId="508C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959" w:type="dxa"/>
            <w:tcBorders>
              <w:top w:val="single" w:color="auto" w:sz="4" w:space="0"/>
              <w:left w:val="single" w:color="auto" w:sz="4" w:space="0"/>
              <w:bottom w:val="single" w:color="auto" w:sz="4" w:space="0"/>
              <w:right w:val="single" w:color="auto" w:sz="4" w:space="0"/>
            </w:tcBorders>
            <w:vAlign w:val="center"/>
          </w:tcPr>
          <w:p w14:paraId="31716F77">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序号</w:t>
            </w:r>
          </w:p>
        </w:tc>
        <w:tc>
          <w:tcPr>
            <w:tcW w:w="3128" w:type="dxa"/>
            <w:tcBorders>
              <w:top w:val="single" w:color="auto" w:sz="4" w:space="0"/>
              <w:left w:val="single" w:color="auto" w:sz="4" w:space="0"/>
              <w:bottom w:val="single" w:color="auto" w:sz="4" w:space="0"/>
              <w:right w:val="single" w:color="auto" w:sz="4" w:space="0"/>
            </w:tcBorders>
            <w:vAlign w:val="center"/>
          </w:tcPr>
          <w:p w14:paraId="61957767">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单位名称</w:t>
            </w:r>
          </w:p>
        </w:tc>
        <w:tc>
          <w:tcPr>
            <w:tcW w:w="2444" w:type="dxa"/>
            <w:tcBorders>
              <w:top w:val="single" w:color="auto" w:sz="4" w:space="0"/>
              <w:left w:val="single" w:color="auto" w:sz="4" w:space="0"/>
              <w:bottom w:val="single" w:color="auto" w:sz="4" w:space="0"/>
              <w:right w:val="single" w:color="auto" w:sz="4" w:space="0"/>
            </w:tcBorders>
            <w:vAlign w:val="center"/>
          </w:tcPr>
          <w:p w14:paraId="5263D40D">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单位基本性质</w:t>
            </w:r>
          </w:p>
        </w:tc>
        <w:tc>
          <w:tcPr>
            <w:tcW w:w="1644" w:type="dxa"/>
            <w:tcBorders>
              <w:top w:val="single" w:color="auto" w:sz="4" w:space="0"/>
              <w:left w:val="single" w:color="auto" w:sz="4" w:space="0"/>
              <w:bottom w:val="single" w:color="auto" w:sz="4" w:space="0"/>
              <w:right w:val="single" w:color="auto" w:sz="4" w:space="0"/>
            </w:tcBorders>
            <w:vAlign w:val="center"/>
          </w:tcPr>
          <w:p w14:paraId="6D0FA9D8">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经费形式</w:t>
            </w:r>
          </w:p>
        </w:tc>
      </w:tr>
      <w:tr w14:paraId="4B86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59" w:type="dxa"/>
            <w:tcBorders>
              <w:top w:val="single" w:color="auto" w:sz="4" w:space="0"/>
              <w:left w:val="single" w:color="auto" w:sz="4" w:space="0"/>
              <w:bottom w:val="single" w:color="auto" w:sz="4" w:space="0"/>
              <w:right w:val="single" w:color="auto" w:sz="4" w:space="0"/>
            </w:tcBorders>
          </w:tcPr>
          <w:p w14:paraId="058032B5">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1</w:t>
            </w:r>
          </w:p>
        </w:tc>
        <w:tc>
          <w:tcPr>
            <w:tcW w:w="3128" w:type="dxa"/>
            <w:tcBorders>
              <w:top w:val="single" w:color="auto" w:sz="4" w:space="0"/>
              <w:left w:val="single" w:color="auto" w:sz="4" w:space="0"/>
              <w:bottom w:val="single" w:color="auto" w:sz="4" w:space="0"/>
              <w:right w:val="single" w:color="auto" w:sz="4" w:space="0"/>
            </w:tcBorders>
          </w:tcPr>
          <w:p w14:paraId="370B272D">
            <w:pPr>
              <w:tabs>
                <w:tab w:val="center" w:pos="4153"/>
                <w:tab w:val="right" w:pos="8306"/>
              </w:tabs>
              <w:snapToGrid w:val="0"/>
              <w:spacing w:line="560" w:lineRule="exact"/>
              <w:rPr>
                <w:rFonts w:ascii="仿宋" w:hAnsi="仿宋" w:eastAsia="仿宋"/>
                <w:sz w:val="32"/>
                <w:szCs w:val="32"/>
              </w:rPr>
            </w:pPr>
            <w:r>
              <w:rPr>
                <w:rFonts w:hint="eastAsia" w:ascii="仿宋" w:hAnsi="仿宋" w:eastAsia="仿宋"/>
                <w:sz w:val="32"/>
                <w:szCs w:val="32"/>
              </w:rPr>
              <w:t>西兆通镇人民政府</w:t>
            </w:r>
          </w:p>
        </w:tc>
        <w:tc>
          <w:tcPr>
            <w:tcW w:w="2444" w:type="dxa"/>
            <w:tcBorders>
              <w:top w:val="single" w:color="auto" w:sz="4" w:space="0"/>
              <w:left w:val="single" w:color="auto" w:sz="4" w:space="0"/>
              <w:bottom w:val="single" w:color="auto" w:sz="4" w:space="0"/>
              <w:right w:val="single" w:color="auto" w:sz="4" w:space="0"/>
            </w:tcBorders>
          </w:tcPr>
          <w:p w14:paraId="43161D13">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行政单位</w:t>
            </w:r>
          </w:p>
        </w:tc>
        <w:tc>
          <w:tcPr>
            <w:tcW w:w="1644" w:type="dxa"/>
            <w:tcBorders>
              <w:top w:val="single" w:color="auto" w:sz="4" w:space="0"/>
              <w:left w:val="single" w:color="auto" w:sz="4" w:space="0"/>
              <w:bottom w:val="single" w:color="auto" w:sz="4" w:space="0"/>
              <w:right w:val="single" w:color="auto" w:sz="4" w:space="0"/>
            </w:tcBorders>
          </w:tcPr>
          <w:p w14:paraId="71292A61">
            <w:pPr>
              <w:tabs>
                <w:tab w:val="center" w:pos="4153"/>
                <w:tab w:val="right" w:pos="8306"/>
              </w:tabs>
              <w:snapToGrid w:val="0"/>
              <w:spacing w:line="560" w:lineRule="exact"/>
              <w:jc w:val="center"/>
              <w:rPr>
                <w:rFonts w:ascii="仿宋" w:hAnsi="仿宋" w:eastAsia="仿宋"/>
                <w:sz w:val="32"/>
                <w:szCs w:val="32"/>
              </w:rPr>
            </w:pPr>
            <w:r>
              <w:rPr>
                <w:rFonts w:hint="eastAsia" w:ascii="仿宋" w:hAnsi="仿宋" w:eastAsia="仿宋"/>
                <w:sz w:val="32"/>
                <w:szCs w:val="32"/>
              </w:rPr>
              <w:t>财政拨款</w:t>
            </w:r>
          </w:p>
        </w:tc>
      </w:tr>
    </w:tbl>
    <w:p w14:paraId="510CA6A4">
      <w:pPr>
        <w:numPr>
          <w:ilvl w:val="0"/>
          <w:numId w:val="1"/>
        </w:numPr>
        <w:snapToGrid w:val="0"/>
        <w:spacing w:line="560" w:lineRule="exact"/>
        <w:ind w:firstLine="643" w:firstLineChars="200"/>
        <w:rPr>
          <w:rFonts w:ascii="仿宋" w:hAnsi="仿宋" w:eastAsia="仿宋"/>
          <w:b/>
          <w:sz w:val="32"/>
          <w:szCs w:val="32"/>
        </w:rPr>
      </w:pPr>
      <w:r>
        <w:rPr>
          <w:rFonts w:hint="eastAsia" w:ascii="仿宋" w:hAnsi="仿宋" w:eastAsia="仿宋"/>
          <w:b/>
          <w:sz w:val="32"/>
          <w:szCs w:val="32"/>
        </w:rPr>
        <w:t>人员情况，包括当年变动情况及原因。</w:t>
      </w:r>
    </w:p>
    <w:p w14:paraId="54C39276">
      <w:pPr>
        <w:adjustRightInd w:val="0"/>
        <w:snapToGrid w:val="0"/>
        <w:spacing w:line="560" w:lineRule="exact"/>
        <w:ind w:firstLine="640" w:firstLineChars="200"/>
        <w:jc w:val="left"/>
        <w:rPr>
          <w:rFonts w:ascii="仿宋" w:hAnsi="仿宋" w:eastAsia="仿宋"/>
          <w:sz w:val="32"/>
          <w:szCs w:val="32"/>
        </w:rPr>
      </w:pPr>
      <w:r>
        <w:rPr>
          <w:rFonts w:hint="eastAsia" w:ascii="仿宋" w:hAnsi="仿宋" w:eastAsia="仿宋"/>
          <w:sz w:val="32"/>
          <w:szCs w:val="32"/>
          <w:lang w:val="en-US" w:eastAsia="zh-CN"/>
        </w:rPr>
        <w:t>截至</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底</w:t>
      </w:r>
      <w:r>
        <w:rPr>
          <w:rFonts w:hint="eastAsia" w:ascii="仿宋" w:hAnsi="仿宋" w:eastAsia="仿宋"/>
          <w:sz w:val="32"/>
          <w:szCs w:val="32"/>
        </w:rPr>
        <w:t>，我单位共计7</w:t>
      </w:r>
      <w:r>
        <w:rPr>
          <w:rFonts w:hint="eastAsia" w:ascii="仿宋" w:hAnsi="仿宋" w:eastAsia="仿宋"/>
          <w:sz w:val="32"/>
          <w:szCs w:val="32"/>
          <w:lang w:val="en-US" w:eastAsia="zh-CN"/>
        </w:rPr>
        <w:t>2</w:t>
      </w:r>
      <w:r>
        <w:rPr>
          <w:rFonts w:hint="eastAsia" w:ascii="仿宋" w:hAnsi="仿宋" w:eastAsia="仿宋"/>
          <w:sz w:val="32"/>
          <w:szCs w:val="32"/>
        </w:rPr>
        <w:t>人，其中在职</w:t>
      </w:r>
      <w:r>
        <w:rPr>
          <w:rFonts w:hint="eastAsia" w:ascii="仿宋" w:hAnsi="仿宋" w:eastAsia="仿宋"/>
          <w:sz w:val="32"/>
          <w:szCs w:val="32"/>
          <w:lang w:val="en-US" w:eastAsia="zh-CN"/>
        </w:rPr>
        <w:t>62</w:t>
      </w:r>
      <w:r>
        <w:rPr>
          <w:rFonts w:hint="eastAsia" w:ascii="仿宋" w:hAnsi="仿宋" w:eastAsia="仿宋"/>
          <w:sz w:val="32"/>
          <w:szCs w:val="32"/>
        </w:rPr>
        <w:t>人，退休</w:t>
      </w:r>
      <w:r>
        <w:rPr>
          <w:rFonts w:hint="eastAsia" w:ascii="仿宋" w:hAnsi="仿宋" w:eastAsia="仿宋"/>
          <w:sz w:val="32"/>
          <w:szCs w:val="32"/>
          <w:lang w:val="en-US" w:eastAsia="zh-CN"/>
        </w:rPr>
        <w:t>10</w:t>
      </w:r>
      <w:r>
        <w:rPr>
          <w:rFonts w:hint="eastAsia" w:ascii="仿宋" w:hAnsi="仿宋" w:eastAsia="仿宋"/>
          <w:sz w:val="32"/>
          <w:szCs w:val="32"/>
        </w:rPr>
        <w:t>人。行政编制人员</w:t>
      </w:r>
      <w:r>
        <w:rPr>
          <w:rFonts w:hint="eastAsia" w:ascii="仿宋" w:hAnsi="仿宋" w:eastAsia="仿宋"/>
          <w:sz w:val="32"/>
          <w:szCs w:val="32"/>
          <w:lang w:val="en-US" w:eastAsia="zh-CN"/>
        </w:rPr>
        <w:t>23</w:t>
      </w:r>
      <w:r>
        <w:rPr>
          <w:rFonts w:hint="eastAsia" w:ascii="仿宋" w:hAnsi="仿宋" w:eastAsia="仿宋"/>
          <w:sz w:val="32"/>
          <w:szCs w:val="32"/>
        </w:rPr>
        <w:t>人，事业人员39人。</w:t>
      </w:r>
    </w:p>
    <w:p w14:paraId="20061645">
      <w:pPr>
        <w:adjustRightInd w:val="0"/>
        <w:snapToGrid w:val="0"/>
        <w:spacing w:line="560" w:lineRule="exact"/>
        <w:ind w:firstLine="643" w:firstLineChars="200"/>
        <w:jc w:val="left"/>
        <w:rPr>
          <w:rFonts w:ascii="仿宋" w:hAnsi="仿宋" w:eastAsia="仿宋"/>
          <w:b/>
          <w:sz w:val="32"/>
          <w:szCs w:val="32"/>
        </w:rPr>
      </w:pPr>
      <w:r>
        <w:rPr>
          <w:rFonts w:hint="eastAsia" w:ascii="仿宋" w:hAnsi="仿宋" w:eastAsia="仿宋"/>
          <w:b/>
          <w:sz w:val="32"/>
          <w:szCs w:val="32"/>
        </w:rPr>
        <w:t>4.资产情况</w:t>
      </w:r>
    </w:p>
    <w:p w14:paraId="2425C51C">
      <w:pPr>
        <w:adjustRightInd w:val="0"/>
        <w:snapToGrid w:val="0"/>
        <w:spacing w:line="56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年固定资产原值</w:t>
      </w:r>
      <w:r>
        <w:rPr>
          <w:rFonts w:hint="eastAsia" w:ascii="仿宋" w:hAnsi="仿宋" w:eastAsia="仿宋"/>
          <w:sz w:val="32"/>
          <w:szCs w:val="32"/>
          <w:lang w:val="en-US" w:eastAsia="zh-CN"/>
        </w:rPr>
        <w:t>11670606.88</w:t>
      </w:r>
      <w:r>
        <w:rPr>
          <w:rFonts w:hint="eastAsia" w:ascii="仿宋" w:hAnsi="仿宋" w:eastAsia="仿宋"/>
          <w:sz w:val="32"/>
          <w:szCs w:val="32"/>
        </w:rPr>
        <w:t>元，累计折旧</w:t>
      </w:r>
      <w:r>
        <w:rPr>
          <w:rFonts w:hint="eastAsia" w:ascii="仿宋" w:hAnsi="仿宋" w:eastAsia="仿宋"/>
          <w:sz w:val="32"/>
          <w:szCs w:val="32"/>
          <w:lang w:val="en-US" w:eastAsia="zh-CN"/>
        </w:rPr>
        <w:t>8072029.37</w:t>
      </w:r>
      <w:r>
        <w:rPr>
          <w:rFonts w:hint="eastAsia" w:ascii="仿宋" w:hAnsi="仿宋" w:eastAsia="仿宋"/>
          <w:sz w:val="32"/>
          <w:szCs w:val="32"/>
          <w:highlight w:val="none"/>
        </w:rPr>
        <w:t>元，净值</w:t>
      </w:r>
      <w:r>
        <w:rPr>
          <w:rFonts w:hint="eastAsia" w:ascii="仿宋" w:hAnsi="仿宋" w:eastAsia="仿宋"/>
          <w:sz w:val="32"/>
          <w:szCs w:val="32"/>
          <w:highlight w:val="none"/>
          <w:lang w:val="en-US" w:eastAsia="zh-CN"/>
        </w:rPr>
        <w:t>3598577.51</w:t>
      </w:r>
      <w:r>
        <w:rPr>
          <w:rFonts w:hint="eastAsia" w:ascii="仿宋" w:hAnsi="仿宋" w:eastAsia="仿宋"/>
          <w:sz w:val="32"/>
          <w:szCs w:val="32"/>
          <w:highlight w:val="none"/>
        </w:rPr>
        <w:t>元</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无形资产1元。</w:t>
      </w:r>
    </w:p>
    <w:p w14:paraId="7510B73D">
      <w:pPr>
        <w:numPr>
          <w:ilvl w:val="0"/>
          <w:numId w:val="2"/>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16F5FADD">
      <w:pPr>
        <w:adjustRightInd w:val="0"/>
        <w:snapToGrid w:val="0"/>
        <w:spacing w:line="560" w:lineRule="exact"/>
        <w:ind w:firstLine="640" w:firstLineChars="200"/>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年预算收入元,其中一般公共预算收入</w:t>
      </w:r>
      <w:r>
        <w:rPr>
          <w:rFonts w:hint="eastAsia" w:ascii="仿宋" w:hAnsi="仿宋" w:eastAsia="仿宋"/>
          <w:sz w:val="32"/>
          <w:szCs w:val="32"/>
          <w:highlight w:val="none"/>
          <w:lang w:val="en-US" w:eastAsia="zh-CN"/>
        </w:rPr>
        <w:t>50500621.01</w:t>
      </w:r>
      <w:r>
        <w:rPr>
          <w:rFonts w:hint="eastAsia" w:ascii="仿宋" w:hAnsi="仿宋" w:eastAsia="仿宋"/>
          <w:sz w:val="32"/>
          <w:szCs w:val="32"/>
          <w:highlight w:val="none"/>
        </w:rPr>
        <w:t>元，政府性基金预算收入</w:t>
      </w:r>
      <w:r>
        <w:rPr>
          <w:rFonts w:hint="eastAsia" w:ascii="仿宋" w:hAnsi="仿宋" w:eastAsia="仿宋"/>
          <w:sz w:val="32"/>
          <w:szCs w:val="32"/>
          <w:highlight w:val="none"/>
          <w:lang w:val="en-US" w:eastAsia="zh-CN"/>
        </w:rPr>
        <w:t>52109409.4</w:t>
      </w:r>
      <w:r>
        <w:rPr>
          <w:rFonts w:hint="eastAsia" w:ascii="仿宋" w:hAnsi="仿宋" w:eastAsia="仿宋"/>
          <w:sz w:val="32"/>
          <w:szCs w:val="32"/>
          <w:highlight w:val="none"/>
        </w:rPr>
        <w:t>元。</w:t>
      </w:r>
      <w:r>
        <w:rPr>
          <w:rFonts w:hint="eastAsia" w:ascii="仿宋" w:hAnsi="仿宋" w:eastAsia="仿宋"/>
          <w:sz w:val="32"/>
          <w:szCs w:val="32"/>
          <w:highlight w:val="none"/>
          <w:lang w:val="en-US" w:eastAsia="zh-CN"/>
        </w:rPr>
        <w:t>2024</w:t>
      </w:r>
      <w:r>
        <w:rPr>
          <w:rFonts w:hint="eastAsia" w:ascii="仿宋" w:hAnsi="仿宋" w:eastAsia="仿宋"/>
          <w:sz w:val="32"/>
          <w:szCs w:val="32"/>
          <w:highlight w:val="none"/>
        </w:rPr>
        <w:t>年预算支出</w:t>
      </w:r>
      <w:r>
        <w:rPr>
          <w:rFonts w:hint="eastAsia" w:ascii="仿宋" w:hAnsi="仿宋" w:eastAsia="仿宋"/>
          <w:sz w:val="32"/>
          <w:szCs w:val="32"/>
          <w:highlight w:val="none"/>
          <w:lang w:val="en-US" w:eastAsia="zh-CN"/>
        </w:rPr>
        <w:t>102610030.41</w:t>
      </w:r>
      <w:r>
        <w:rPr>
          <w:rFonts w:hint="eastAsia" w:ascii="仿宋" w:hAnsi="仿宋" w:eastAsia="仿宋"/>
          <w:sz w:val="32"/>
          <w:szCs w:val="32"/>
          <w:highlight w:val="none"/>
        </w:rPr>
        <w:t>元，其中基本支出</w:t>
      </w:r>
      <w:r>
        <w:rPr>
          <w:rFonts w:hint="eastAsia" w:ascii="仿宋" w:hAnsi="仿宋" w:eastAsia="仿宋"/>
          <w:sz w:val="32"/>
          <w:szCs w:val="32"/>
          <w:highlight w:val="none"/>
          <w:lang w:val="en-US" w:eastAsia="zh-CN"/>
        </w:rPr>
        <w:t>16052092.34</w:t>
      </w:r>
      <w:r>
        <w:rPr>
          <w:rFonts w:hint="eastAsia" w:ascii="仿宋" w:hAnsi="仿宋" w:eastAsia="仿宋"/>
          <w:sz w:val="32"/>
          <w:szCs w:val="32"/>
          <w:highlight w:val="none"/>
        </w:rPr>
        <w:t>元，项目支出</w:t>
      </w:r>
      <w:r>
        <w:rPr>
          <w:rFonts w:hint="eastAsia" w:ascii="仿宋" w:hAnsi="仿宋" w:eastAsia="仿宋"/>
          <w:sz w:val="32"/>
          <w:szCs w:val="32"/>
          <w:highlight w:val="none"/>
          <w:lang w:val="en-US" w:eastAsia="zh-CN"/>
        </w:rPr>
        <w:t>86557938.07</w:t>
      </w:r>
      <w:r>
        <w:rPr>
          <w:rFonts w:hint="eastAsia" w:ascii="仿宋" w:hAnsi="仿宋" w:eastAsia="仿宋"/>
          <w:sz w:val="32"/>
          <w:szCs w:val="32"/>
          <w:highlight w:val="none"/>
        </w:rPr>
        <w:t xml:space="preserve">元。 </w:t>
      </w:r>
      <w:r>
        <w:rPr>
          <w:rFonts w:hint="eastAsia" w:ascii="仿宋" w:hAnsi="仿宋" w:eastAsia="仿宋"/>
          <w:sz w:val="32"/>
          <w:szCs w:val="32"/>
        </w:rPr>
        <w:t xml:space="preserve"> </w:t>
      </w:r>
    </w:p>
    <w:p w14:paraId="631A511A">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00548C30">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2CEE08BF">
      <w:pPr>
        <w:spacing w:line="360" w:lineRule="auto"/>
        <w:ind w:firstLine="640" w:firstLineChars="200"/>
        <w:rPr>
          <w:rFonts w:ascii="仿宋" w:hAnsi="仿宋" w:eastAsia="仿宋"/>
          <w:sz w:val="32"/>
          <w:szCs w:val="32"/>
        </w:rPr>
      </w:pPr>
      <w:r>
        <w:rPr>
          <w:rFonts w:ascii="宋体" w:hAnsi="宋体" w:eastAsia="宋体" w:cs="宋体"/>
          <w:sz w:val="32"/>
          <w:szCs w:val="32"/>
        </w:rPr>
        <w:t>镇成立由党政办牵头，相关业务科室配合组织实施的工作领导小组。明确了各部门的职责，即党政办公室主要负责预算项目及执行项目的资金使用情况，其他业务科室负责提供项目实施过程的计划及总结的工作职责，工作组组长为</w:t>
      </w:r>
      <w:r>
        <w:rPr>
          <w:rFonts w:hint="eastAsia" w:ascii="宋体" w:hAnsi="宋体" w:cs="宋体"/>
          <w:sz w:val="32"/>
          <w:szCs w:val="32"/>
          <w:lang w:val="en-US" w:eastAsia="zh-CN"/>
        </w:rPr>
        <w:t>孟炳旭副书记</w:t>
      </w:r>
      <w:r>
        <w:rPr>
          <w:rFonts w:ascii="宋体" w:hAnsi="宋体" w:eastAsia="宋体" w:cs="宋体"/>
          <w:sz w:val="32"/>
          <w:szCs w:val="32"/>
        </w:rPr>
        <w:t>，副组长为</w:t>
      </w:r>
      <w:r>
        <w:rPr>
          <w:rFonts w:hint="eastAsia" w:ascii="宋体" w:hAnsi="宋体" w:cs="宋体"/>
          <w:sz w:val="32"/>
          <w:szCs w:val="32"/>
          <w:lang w:val="en-US" w:eastAsia="zh-CN"/>
        </w:rPr>
        <w:t>党政办负责财务负责人倪丽娅</w:t>
      </w:r>
      <w:r>
        <w:rPr>
          <w:rFonts w:ascii="宋体" w:hAnsi="宋体" w:eastAsia="宋体" w:cs="宋体"/>
          <w:sz w:val="32"/>
          <w:szCs w:val="32"/>
        </w:rPr>
        <w:t>，其他主要科室科长为成员。</w:t>
      </w:r>
    </w:p>
    <w:p w14:paraId="3F0DBDD6">
      <w:pPr>
        <w:spacing w:line="560" w:lineRule="exact"/>
        <w:rPr>
          <w:rFonts w:ascii="仿宋" w:hAnsi="仿宋" w:eastAsia="仿宋"/>
          <w:sz w:val="32"/>
          <w:szCs w:val="32"/>
        </w:rPr>
      </w:pPr>
    </w:p>
    <w:p w14:paraId="3FE2DDF4">
      <w:pPr>
        <w:numPr>
          <w:ilvl w:val="0"/>
          <w:numId w:val="3"/>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19A6DB14">
      <w:pPr>
        <w:keepNext w:val="0"/>
        <w:keepLines w:val="0"/>
        <w:pageBreakBefore w:val="0"/>
        <w:widowControl w:val="0"/>
        <w:kinsoku/>
        <w:wordWrap/>
        <w:overflowPunct/>
        <w:topLinePunct w:val="0"/>
        <w:autoSpaceDE/>
        <w:autoSpaceDN/>
        <w:bidi w:val="0"/>
        <w:adjustRightInd/>
        <w:snapToGrid/>
        <w:spacing w:line="560" w:lineRule="exact"/>
        <w:ind w:left="567" w:firstLine="480" w:firstLineChars="150"/>
        <w:textAlignment w:val="auto"/>
        <w:rPr>
          <w:rFonts w:ascii="仿宋" w:hAnsi="仿宋" w:eastAsia="仿宋"/>
          <w:sz w:val="32"/>
          <w:szCs w:val="32"/>
        </w:rPr>
      </w:pPr>
      <w:r>
        <w:rPr>
          <w:rFonts w:hint="eastAsia" w:ascii="仿宋" w:hAnsi="仿宋" w:eastAsia="仿宋"/>
          <w:sz w:val="32"/>
          <w:szCs w:val="32"/>
        </w:rPr>
        <w:t>1、是绩效评价的原则</w:t>
      </w:r>
    </w:p>
    <w:p w14:paraId="086E93DC">
      <w:pPr>
        <w:keepNext w:val="0"/>
        <w:keepLines w:val="0"/>
        <w:pageBreakBefore w:val="0"/>
        <w:widowControl w:val="0"/>
        <w:kinsoku/>
        <w:wordWrap/>
        <w:overflowPunct/>
        <w:topLinePunct w:val="0"/>
        <w:autoSpaceDE/>
        <w:autoSpaceDN/>
        <w:bidi w:val="0"/>
        <w:adjustRightInd/>
        <w:snapToGrid/>
        <w:spacing w:line="560" w:lineRule="exact"/>
        <w:ind w:left="567"/>
        <w:textAlignment w:val="auto"/>
        <w:rPr>
          <w:rFonts w:ascii="仿宋" w:hAnsi="仿宋" w:eastAsia="仿宋"/>
          <w:sz w:val="32"/>
          <w:szCs w:val="32"/>
        </w:rPr>
      </w:pPr>
      <w:r>
        <w:rPr>
          <w:rFonts w:hint="eastAsia" w:ascii="仿宋" w:hAnsi="仿宋" w:eastAsia="仿宋"/>
          <w:sz w:val="32"/>
          <w:szCs w:val="32"/>
        </w:rPr>
        <w:t>（1）科学规范。绩效评价注重财政支出的经济性、效率性和有效性，严格执行规定的程序，采用定量与定性分析 相结合的方法。</w:t>
      </w:r>
    </w:p>
    <w:p w14:paraId="1365C17A">
      <w:pPr>
        <w:keepNext w:val="0"/>
        <w:keepLines w:val="0"/>
        <w:pageBreakBefore w:val="0"/>
        <w:widowControl w:val="0"/>
        <w:kinsoku/>
        <w:wordWrap/>
        <w:overflowPunct/>
        <w:topLinePunct w:val="0"/>
        <w:autoSpaceDE/>
        <w:autoSpaceDN/>
        <w:bidi w:val="0"/>
        <w:adjustRightInd/>
        <w:snapToGrid/>
        <w:spacing w:line="560" w:lineRule="exact"/>
        <w:ind w:left="567"/>
        <w:textAlignment w:val="auto"/>
        <w:rPr>
          <w:rFonts w:ascii="仿宋" w:hAnsi="仿宋" w:eastAsia="仿宋"/>
          <w:sz w:val="32"/>
          <w:szCs w:val="32"/>
        </w:rPr>
      </w:pPr>
      <w:r>
        <w:rPr>
          <w:rFonts w:hint="eastAsia" w:ascii="仿宋" w:hAnsi="仿宋" w:eastAsia="仿宋"/>
          <w:sz w:val="32"/>
          <w:szCs w:val="32"/>
        </w:rPr>
        <w:t>（2）公正公开。绩效评价客观、公正，标准统一、资料可靠，依法公开。</w:t>
      </w:r>
    </w:p>
    <w:p w14:paraId="3013D1CD">
      <w:pPr>
        <w:keepNext w:val="0"/>
        <w:keepLines w:val="0"/>
        <w:pageBreakBefore w:val="0"/>
        <w:widowControl w:val="0"/>
        <w:kinsoku/>
        <w:wordWrap/>
        <w:overflowPunct/>
        <w:topLinePunct w:val="0"/>
        <w:autoSpaceDE/>
        <w:autoSpaceDN/>
        <w:bidi w:val="0"/>
        <w:adjustRightInd/>
        <w:snapToGrid/>
        <w:spacing w:line="560" w:lineRule="exact"/>
        <w:ind w:left="567"/>
        <w:textAlignment w:val="auto"/>
        <w:rPr>
          <w:rFonts w:ascii="Times New Roman" w:hAnsi="Times New Roman"/>
          <w:szCs w:val="21"/>
        </w:rPr>
      </w:pPr>
      <w:r>
        <w:rPr>
          <w:rFonts w:hint="eastAsia" w:ascii="仿宋" w:hAnsi="仿宋" w:eastAsia="仿宋"/>
          <w:sz w:val="32"/>
          <w:szCs w:val="32"/>
        </w:rPr>
        <w:t>（3）绩效相关。绩效评价针对具体支出及其产出绩效进行评价，结果清晰反映支出和产出绩效之间的紧密对应关系。</w:t>
      </w:r>
    </w:p>
    <w:p w14:paraId="02E1FB13">
      <w:pPr>
        <w:keepNext w:val="0"/>
        <w:keepLines w:val="0"/>
        <w:pageBreakBefore w:val="0"/>
        <w:widowControl w:val="0"/>
        <w:kinsoku/>
        <w:wordWrap/>
        <w:overflowPunct/>
        <w:topLinePunct w:val="0"/>
        <w:autoSpaceDE/>
        <w:autoSpaceDN/>
        <w:bidi w:val="0"/>
        <w:adjustRightInd/>
        <w:snapToGrid/>
        <w:spacing w:line="560" w:lineRule="exact"/>
        <w:ind w:left="567" w:firstLine="320" w:firstLineChars="100"/>
        <w:textAlignment w:val="auto"/>
        <w:rPr>
          <w:rFonts w:ascii="仿宋" w:hAnsi="仿宋" w:eastAsia="仿宋"/>
          <w:sz w:val="32"/>
          <w:szCs w:val="32"/>
        </w:rPr>
      </w:pPr>
      <w:r>
        <w:rPr>
          <w:rFonts w:hint="eastAsia" w:ascii="仿宋" w:hAnsi="仿宋" w:eastAsia="仿宋"/>
          <w:sz w:val="32"/>
          <w:szCs w:val="32"/>
        </w:rPr>
        <w:t>2、是绩效评价的要求</w:t>
      </w:r>
    </w:p>
    <w:p w14:paraId="15B7E23C">
      <w:pPr>
        <w:keepNext w:val="0"/>
        <w:keepLines w:val="0"/>
        <w:pageBreakBefore w:val="0"/>
        <w:widowControl w:val="0"/>
        <w:kinsoku/>
        <w:wordWrap/>
        <w:overflowPunct/>
        <w:topLinePunct w:val="0"/>
        <w:autoSpaceDE/>
        <w:autoSpaceDN/>
        <w:bidi w:val="0"/>
        <w:adjustRightInd/>
        <w:snapToGrid/>
        <w:spacing w:line="560" w:lineRule="exact"/>
        <w:ind w:left="426"/>
        <w:textAlignment w:val="auto"/>
        <w:rPr>
          <w:rFonts w:ascii="仿宋" w:hAnsi="仿宋" w:eastAsia="仿宋"/>
          <w:sz w:val="32"/>
          <w:szCs w:val="32"/>
        </w:rPr>
      </w:pPr>
      <w:r>
        <w:rPr>
          <w:rFonts w:hint="eastAsia" w:ascii="仿宋" w:hAnsi="仿宋" w:eastAsia="仿宋"/>
          <w:sz w:val="32"/>
          <w:szCs w:val="32"/>
        </w:rPr>
        <w:t>（1）在数据采集时，采取客观数据，保证各项指标的真实性。</w:t>
      </w:r>
    </w:p>
    <w:p w14:paraId="4B9561A6">
      <w:pPr>
        <w:keepNext w:val="0"/>
        <w:keepLines w:val="0"/>
        <w:pageBreakBefore w:val="0"/>
        <w:widowControl w:val="0"/>
        <w:kinsoku/>
        <w:wordWrap/>
        <w:overflowPunct/>
        <w:topLinePunct w:val="0"/>
        <w:autoSpaceDE/>
        <w:autoSpaceDN/>
        <w:bidi w:val="0"/>
        <w:adjustRightInd/>
        <w:snapToGrid/>
        <w:spacing w:line="560" w:lineRule="exact"/>
        <w:ind w:left="426"/>
        <w:textAlignment w:val="auto"/>
        <w:rPr>
          <w:rFonts w:ascii="Times New Roman" w:hAnsi="Times New Roman"/>
          <w:szCs w:val="21"/>
        </w:rPr>
      </w:pPr>
      <w:r>
        <w:rPr>
          <w:rFonts w:hint="eastAsia" w:ascii="仿宋" w:hAnsi="仿宋" w:eastAsia="仿宋"/>
          <w:sz w:val="32"/>
          <w:szCs w:val="32"/>
        </w:rPr>
        <w:t>（2）保证评价结果的真实性、公正性，提高评价报告的公信力。</w:t>
      </w:r>
    </w:p>
    <w:p w14:paraId="5B096FC2">
      <w:pPr>
        <w:keepNext w:val="0"/>
        <w:keepLines w:val="0"/>
        <w:pageBreakBefore w:val="0"/>
        <w:widowControl w:val="0"/>
        <w:kinsoku/>
        <w:wordWrap/>
        <w:overflowPunct/>
        <w:topLinePunct w:val="0"/>
        <w:autoSpaceDE/>
        <w:autoSpaceDN/>
        <w:bidi w:val="0"/>
        <w:adjustRightInd/>
        <w:snapToGrid/>
        <w:spacing w:line="560" w:lineRule="exact"/>
        <w:ind w:left="426" w:right="160"/>
        <w:textAlignment w:val="auto"/>
        <w:rPr>
          <w:rFonts w:ascii="Times New Roman" w:hAnsi="Times New Roman"/>
          <w:szCs w:val="21"/>
        </w:rPr>
      </w:pPr>
      <w:r>
        <w:rPr>
          <w:rFonts w:hint="eastAsia" w:ascii="仿宋" w:hAnsi="仿宋" w:eastAsia="仿宋"/>
          <w:sz w:val="32"/>
          <w:szCs w:val="32"/>
        </w:rPr>
        <w:t>（3）绩效评价报告应当简明扼要，除了对绩效评价的 过程、结果描述外，还应指出问题及可能存在的风险，并就共性问题提出可操作性改进建议。</w:t>
      </w:r>
    </w:p>
    <w:p w14:paraId="665FA0FD">
      <w:pPr>
        <w:keepNext w:val="0"/>
        <w:keepLines w:val="0"/>
        <w:pageBreakBefore w:val="0"/>
        <w:widowControl w:val="0"/>
        <w:kinsoku/>
        <w:wordWrap/>
        <w:overflowPunct/>
        <w:topLinePunct w:val="0"/>
        <w:autoSpaceDE/>
        <w:autoSpaceDN/>
        <w:bidi w:val="0"/>
        <w:adjustRightInd/>
        <w:snapToGrid/>
        <w:spacing w:line="560" w:lineRule="exact"/>
        <w:ind w:left="426" w:firstLine="160" w:firstLineChars="50"/>
        <w:textAlignment w:val="auto"/>
        <w:rPr>
          <w:rFonts w:ascii="仿宋" w:hAnsi="仿宋" w:eastAsia="仿宋"/>
          <w:sz w:val="32"/>
          <w:szCs w:val="32"/>
        </w:rPr>
      </w:pPr>
      <w:r>
        <w:rPr>
          <w:rFonts w:hint="eastAsia" w:ascii="仿宋" w:hAnsi="仿宋" w:eastAsia="仿宋"/>
          <w:sz w:val="32"/>
          <w:szCs w:val="32"/>
        </w:rPr>
        <w:t>3、是评价指标体系及标准</w:t>
      </w:r>
    </w:p>
    <w:p w14:paraId="3BA96119">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pPr>
      <w:r>
        <w:rPr>
          <w:rFonts w:hint="eastAsia" w:ascii="仿宋" w:hAnsi="仿宋" w:eastAsia="仿宋"/>
          <w:sz w:val="32"/>
          <w:szCs w:val="32"/>
        </w:rPr>
        <w:t>总分设定为100分。产出指标40分（包含数量、质量、时效、成本）、预算执行率指标10分、效益指标40分（包含经济效益、社会效益、生态效益、可持续影响）、满意度指标10分。</w:t>
      </w:r>
    </w:p>
    <w:p w14:paraId="125113B7">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BE56030">
      <w:pPr>
        <w:numPr>
          <w:ilvl w:val="0"/>
          <w:numId w:val="4"/>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73BF3D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2025年，固定资产投资任务如期完成，招商引资再添动力。</w:t>
      </w:r>
    </w:p>
    <w:p w14:paraId="78D85A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环境整治工作成效显著，蓝天绿水净土再现新美景。镇域基础设施提质升级、群众生活质量再上新台阶。化解信访隐患成效明显，辖区态势趋于稳定。农村三资管理持续规范，农业农村工作不断健全。民生保障持续改善，民生福祉不断健全。大气环保指数有所改善，防治工作取得成效。坚定不移做好新时代意识形态工作。</w:t>
      </w:r>
    </w:p>
    <w:p w14:paraId="0791F2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val="0"/>
          <w:bCs w:val="0"/>
          <w:kern w:val="0"/>
          <w:sz w:val="32"/>
          <w:szCs w:val="32"/>
          <w:lang w:val="en-US" w:eastAsia="zh-CN" w:bidi="ar-SA"/>
        </w:rPr>
        <w:t>（一）持续把握区域发展机遇，千方百计抓落地。全镇上下将认真贯彻落实区委、区政府各项决策部署，牢固树立“项目为王”理念，切实增强抓项目、抓发展的紧迫感和自觉性，督促新开工项目尽快落地，提振经济发展，</w:t>
      </w:r>
      <w:r>
        <w:rPr>
          <w:rFonts w:hint="default" w:ascii="Times New Roman" w:hAnsi="Times New Roman" w:eastAsia="仿宋_GB2312" w:cs="Times New Roman"/>
          <w:b w:val="0"/>
          <w:bCs w:val="0"/>
          <w:kern w:val="0"/>
          <w:sz w:val="32"/>
          <w:szCs w:val="32"/>
          <w:lang w:val="en-US" w:eastAsia="zh-CN" w:bidi="ar-SA"/>
        </w:rPr>
        <w:t>构建城中村改造、商贸项目落地、生态经济发展新布局。</w:t>
      </w:r>
    </w:p>
    <w:p w14:paraId="6FDC14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val="0"/>
          <w:bCs w:val="0"/>
          <w:kern w:val="0"/>
          <w:sz w:val="32"/>
          <w:szCs w:val="32"/>
          <w:lang w:val="en-US" w:eastAsia="zh-CN" w:bidi="ar-SA"/>
        </w:rPr>
        <w:t>（二）持续深化思想认识，真情实意办实事。一是加强中心理论学习。将党纪学习教育纳入理论学习中心组学习</w:t>
      </w:r>
      <w:bookmarkStart w:id="0" w:name="_GoBack"/>
      <w:bookmarkEnd w:id="0"/>
      <w:r>
        <w:rPr>
          <w:rFonts w:hint="eastAsia" w:ascii="Times New Roman" w:hAnsi="Times New Roman" w:eastAsia="仿宋_GB2312" w:cs="Times New Roman"/>
          <w:b w:val="0"/>
          <w:bCs w:val="0"/>
          <w:kern w:val="0"/>
          <w:sz w:val="32"/>
          <w:szCs w:val="32"/>
          <w:lang w:val="en-US" w:eastAsia="zh-CN" w:bidi="ar-SA"/>
        </w:rPr>
        <w:t>，组织全镇党员继续开展党纪学习教育，让广大党员干部坚定信念，履行责任，更好服务群众。二是持续开展志愿活动工作。不断提高居民参与度，展现乐于助人、无私奉献等中华优秀传统文化，促进民族团结，推动各项工作向前发展。三是持续开展好统战工作。做好各民族团结工作，继续加大专项治理摸排工作，确保不漏一人一户，对于重点人员时刻关注，确保我镇宗教工作平稳有序开展。四是继续推进意识形态工作，认真贯彻落实中央和省市区委决策部署，自觉强化省会建设发展的“主战场”“主力军”意识，全力做好意识形态各项工作，为建设美丽兆通提供坚强的精神动力、营造良好的社会氛围。</w:t>
      </w:r>
    </w:p>
    <w:p w14:paraId="1EFC06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val="0"/>
          <w:bCs w:val="0"/>
          <w:kern w:val="0"/>
          <w:sz w:val="32"/>
          <w:szCs w:val="32"/>
          <w:lang w:val="en-US" w:eastAsia="zh-CN" w:bidi="ar-SA"/>
        </w:rPr>
        <w:t>（三）持续提升环境质量，久久为功抓治理。</w:t>
      </w:r>
      <w:r>
        <w:rPr>
          <w:rFonts w:hint="default" w:ascii="Times New Roman" w:hAnsi="Times New Roman" w:eastAsia="仿宋_GB2312" w:cs="Times New Roman"/>
          <w:b w:val="0"/>
          <w:bCs w:val="0"/>
          <w:kern w:val="0"/>
          <w:sz w:val="32"/>
          <w:szCs w:val="32"/>
          <w:lang w:val="en-US" w:eastAsia="zh-CN" w:bidi="ar-SA"/>
        </w:rPr>
        <w:t>继续以</w:t>
      </w:r>
      <w:r>
        <w:rPr>
          <w:rFonts w:hint="eastAsia" w:ascii="Times New Roman" w:hAnsi="Times New Roman" w:eastAsia="仿宋_GB2312" w:cs="Times New Roman"/>
          <w:b w:val="0"/>
          <w:bCs w:val="0"/>
          <w:kern w:val="0"/>
          <w:sz w:val="32"/>
          <w:szCs w:val="32"/>
          <w:lang w:val="en-US" w:eastAsia="zh-CN" w:bidi="ar-SA"/>
        </w:rPr>
        <w:t>大气环保工作</w:t>
      </w:r>
      <w:r>
        <w:rPr>
          <w:rFonts w:hint="default" w:ascii="Times New Roman" w:hAnsi="Times New Roman" w:eastAsia="仿宋_GB2312" w:cs="Times New Roman"/>
          <w:b w:val="0"/>
          <w:bCs w:val="0"/>
          <w:kern w:val="0"/>
          <w:sz w:val="32"/>
          <w:szCs w:val="32"/>
          <w:lang w:val="en-US" w:eastAsia="zh-CN" w:bidi="ar-SA"/>
        </w:rPr>
        <w:t>要求为标准，持续抓好垃圾清理、违占违建、道路保洁</w:t>
      </w:r>
      <w:r>
        <w:rPr>
          <w:rFonts w:hint="eastAsia" w:ascii="Times New Roman" w:hAnsi="Times New Roman" w:eastAsia="仿宋_GB2312" w:cs="Times New Roman"/>
          <w:b w:val="0"/>
          <w:bCs w:val="0"/>
          <w:kern w:val="0"/>
          <w:sz w:val="32"/>
          <w:szCs w:val="32"/>
          <w:lang w:val="en-US" w:eastAsia="zh-CN" w:bidi="ar-SA"/>
        </w:rPr>
        <w:t>、大气污染</w:t>
      </w:r>
      <w:r>
        <w:rPr>
          <w:rFonts w:hint="default" w:ascii="Times New Roman" w:hAnsi="Times New Roman" w:eastAsia="仿宋_GB2312" w:cs="Times New Roman"/>
          <w:b w:val="0"/>
          <w:bCs w:val="0"/>
          <w:kern w:val="0"/>
          <w:sz w:val="32"/>
          <w:szCs w:val="32"/>
          <w:lang w:val="en-US" w:eastAsia="zh-CN" w:bidi="ar-SA"/>
        </w:rPr>
        <w:t>等工作。积极配合市城管委、区城管局持续推进垃圾分类、新建垃圾转运站和污水处理等基础设施建设工作，促进项目尽快落地并投入使用。结合道路</w:t>
      </w:r>
      <w:r>
        <w:rPr>
          <w:rFonts w:hint="eastAsia" w:ascii="Times New Roman" w:hAnsi="Times New Roman" w:eastAsia="仿宋_GB2312" w:cs="Times New Roman"/>
          <w:b w:val="0"/>
          <w:bCs w:val="0"/>
          <w:kern w:val="0"/>
          <w:sz w:val="32"/>
          <w:szCs w:val="32"/>
          <w:lang w:val="en-US" w:eastAsia="zh-CN" w:bidi="ar-SA"/>
        </w:rPr>
        <w:t>基础设施</w:t>
      </w:r>
      <w:r>
        <w:rPr>
          <w:rFonts w:hint="default" w:ascii="Times New Roman" w:hAnsi="Times New Roman" w:eastAsia="仿宋_GB2312" w:cs="Times New Roman"/>
          <w:b w:val="0"/>
          <w:bCs w:val="0"/>
          <w:kern w:val="0"/>
          <w:sz w:val="32"/>
          <w:szCs w:val="32"/>
          <w:lang w:val="en-US" w:eastAsia="zh-CN" w:bidi="ar-SA"/>
        </w:rPr>
        <w:t>建设和城中村改造，继续严厉打击“两违”行为</w:t>
      </w:r>
      <w:r>
        <w:rPr>
          <w:rFonts w:hint="eastAsia" w:ascii="Times New Roman" w:hAnsi="Times New Roman" w:eastAsia="仿宋_GB2312" w:cs="Times New Roman"/>
          <w:b w:val="0"/>
          <w:bCs w:val="0"/>
          <w:kern w:val="0"/>
          <w:sz w:val="32"/>
          <w:szCs w:val="32"/>
          <w:lang w:val="en-US" w:eastAsia="zh-CN" w:bidi="ar-SA"/>
        </w:rPr>
        <w:t>，全力做好复兴大街、北三环市政化改造道路两侧环境整治工作，排查两侧违建，做好拆建并举。认真落实“河长制”，完善镇村两级联动机制，加强巡河力度，做好汛期防汛演练，实现常态化巡查巡护。</w:t>
      </w:r>
    </w:p>
    <w:p w14:paraId="0EBF7D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val="0"/>
          <w:bCs w:val="0"/>
          <w:kern w:val="0"/>
          <w:sz w:val="32"/>
          <w:szCs w:val="32"/>
          <w:lang w:val="en-US" w:eastAsia="zh-CN" w:bidi="ar-SA"/>
        </w:rPr>
        <w:t>（四）持续抓好信访维稳，防范化解风险挑战。我镇将全面落实信访法治化工作，不断加强基层基础建设，有计划、有步骤地完成信访维稳、矛盾纠纷调处、网格化管理等各项工作，一是做好国际贸易城信访稳定工作，紧盯退铺退款工作，加强招商引资，全力盘活项目；二是化解安联生态城信访问题，通过西兆通镇设立的监管账户，严格监督生态城资金使用情况，督促施工单位加快施工，确保按时交房，持之以恒不断抓重点信访工作，努力化解风险挑战，为辖区稳定奠定基础。</w:t>
      </w:r>
    </w:p>
    <w:p w14:paraId="1BBE6355">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4850C570">
      <w:pPr>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p w14:paraId="2BFAF868">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6B632109">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187C7562">
      <w:pPr>
        <w:spacing w:line="560" w:lineRule="exact"/>
        <w:ind w:firstLine="640" w:firstLineChars="200"/>
        <w:rPr>
          <w:rFonts w:hint="eastAsia" w:ascii="楷体" w:hAnsi="楷体" w:eastAsia="楷体"/>
          <w:bCs/>
          <w:sz w:val="32"/>
          <w:szCs w:val="32"/>
        </w:rPr>
      </w:pPr>
      <w:r>
        <w:rPr>
          <w:rFonts w:hint="eastAsia" w:ascii="仿宋" w:hAnsi="仿宋" w:eastAsia="仿宋"/>
          <w:sz w:val="32"/>
          <w:szCs w:val="32"/>
        </w:rPr>
        <w:t>‌目标设置不科学‌</w:t>
      </w:r>
      <w:r>
        <w:rPr>
          <w:rFonts w:hint="eastAsia" w:ascii="仿宋" w:hAnsi="仿宋" w:eastAsia="仿宋"/>
          <w:sz w:val="32"/>
          <w:szCs w:val="32"/>
          <w:lang w:eastAsia="zh-CN"/>
        </w:rPr>
        <w:t>，</w:t>
      </w:r>
      <w:r>
        <w:rPr>
          <w:rFonts w:hint="eastAsia" w:ascii="仿宋" w:hAnsi="仿宋" w:eastAsia="仿宋"/>
          <w:sz w:val="32"/>
          <w:szCs w:val="32"/>
        </w:rPr>
        <w:t>绩效指标设置与项目实际关联度低，套用共性指标多而个性化不足，定量指标少且定性描述宽泛，导致评价难以精准衡量</w:t>
      </w:r>
      <w:r>
        <w:rPr>
          <w:rFonts w:hint="eastAsia" w:ascii="仿宋" w:hAnsi="仿宋" w:eastAsia="仿宋"/>
          <w:sz w:val="32"/>
          <w:szCs w:val="32"/>
          <w:lang w:eastAsia="zh-CN"/>
        </w:rPr>
        <w:t>；自评质量不高‌，部分项目自评支撑材料不足，得分缺乏客观依据，与实际抽评结果偏差较大；对预算执行率低、目标未完成等问题未深入分析原因，整改建议缺乏针对性</w:t>
      </w:r>
    </w:p>
    <w:p w14:paraId="7E3AB6CB">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438FC792">
      <w:pPr>
        <w:spacing w:line="560" w:lineRule="exact"/>
        <w:ind w:firstLine="640" w:firstLineChars="200"/>
        <w:rPr>
          <w:rFonts w:ascii="仿宋" w:hAnsi="仿宋" w:eastAsia="仿宋"/>
        </w:rPr>
      </w:pPr>
      <w:r>
        <w:rPr>
          <w:rFonts w:hint="default" w:ascii="仿宋" w:hAnsi="仿宋" w:eastAsia="仿宋"/>
          <w:sz w:val="32"/>
          <w:szCs w:val="32"/>
        </w:rPr>
        <w:t>强化组织管理‌</w:t>
      </w:r>
      <w:r>
        <w:rPr>
          <w:rFonts w:hint="eastAsia" w:ascii="仿宋" w:hAnsi="仿宋" w:eastAsia="仿宋"/>
          <w:sz w:val="32"/>
          <w:szCs w:val="32"/>
          <w:lang w:eastAsia="zh-CN"/>
        </w:rPr>
        <w:t>，</w:t>
      </w:r>
      <w:r>
        <w:rPr>
          <w:rFonts w:hint="default" w:ascii="仿宋" w:hAnsi="仿宋" w:eastAsia="仿宋"/>
          <w:sz w:val="32"/>
          <w:szCs w:val="32"/>
        </w:rPr>
        <w:t>成立绩效评价领导小组，明确责任分工，将绩效管理与业务工作同步部署、考核，通过定期培训提升全员重视程度</w:t>
      </w:r>
      <w:r>
        <w:rPr>
          <w:rFonts w:hint="eastAsia" w:ascii="仿宋" w:hAnsi="仿宋" w:eastAsia="仿宋"/>
          <w:sz w:val="32"/>
          <w:szCs w:val="32"/>
          <w:lang w:eastAsia="zh-CN"/>
        </w:rPr>
        <w:t>；</w:t>
      </w:r>
      <w:r>
        <w:rPr>
          <w:rFonts w:hint="default" w:ascii="仿宋" w:hAnsi="仿宋" w:eastAsia="仿宋"/>
          <w:sz w:val="32"/>
          <w:szCs w:val="32"/>
        </w:rPr>
        <w:t>‌规范自评流程‌</w:t>
      </w:r>
      <w:r>
        <w:rPr>
          <w:rFonts w:hint="eastAsia" w:ascii="仿宋" w:hAnsi="仿宋" w:eastAsia="仿宋"/>
          <w:sz w:val="32"/>
          <w:szCs w:val="32"/>
          <w:lang w:eastAsia="zh-CN"/>
        </w:rPr>
        <w:t>，</w:t>
      </w:r>
      <w:r>
        <w:rPr>
          <w:rFonts w:hint="default" w:ascii="仿宋" w:hAnsi="仿宋" w:eastAsia="仿宋"/>
          <w:sz w:val="32"/>
          <w:szCs w:val="32"/>
        </w:rPr>
        <w:t>制定标准化填报模板，确保报告内容完整、问题分析透彻</w:t>
      </w:r>
      <w:r>
        <w:rPr>
          <w:rFonts w:hint="eastAsia" w:ascii="仿宋" w:hAnsi="仿宋" w:eastAsia="仿宋"/>
          <w:sz w:val="32"/>
          <w:szCs w:val="32"/>
          <w:lang w:eastAsia="zh-CN"/>
        </w:rPr>
        <w:t>；</w:t>
      </w:r>
      <w:r>
        <w:rPr>
          <w:rFonts w:hint="default" w:ascii="仿宋" w:hAnsi="仿宋" w:eastAsia="仿宋"/>
          <w:sz w:val="32"/>
          <w:szCs w:val="32"/>
        </w:rPr>
        <w:t>‌科学设置绩效目标</w:t>
      </w:r>
      <w:r>
        <w:rPr>
          <w:rFonts w:hint="eastAsia" w:ascii="仿宋" w:hAnsi="仿宋" w:eastAsia="仿宋"/>
          <w:sz w:val="32"/>
          <w:szCs w:val="32"/>
          <w:lang w:eastAsia="zh-CN"/>
        </w:rPr>
        <w:t>。</w:t>
      </w:r>
    </w:p>
    <w:p w14:paraId="574A8497">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F6D66">
    <w:pPr>
      <w:pStyle w:val="4"/>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7096C65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4FDC2B82"/>
    <w:multiLevelType w:val="singleLevel"/>
    <w:tmpl w:val="4FDC2B82"/>
    <w:lvl w:ilvl="0" w:tentative="0">
      <w:start w:val="2"/>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abstractNum w:abstractNumId="3">
    <w:nsid w:val="65EF8421"/>
    <w:multiLevelType w:val="singleLevel"/>
    <w:tmpl w:val="65EF8421"/>
    <w:lvl w:ilvl="0" w:tentative="0">
      <w:start w:val="2"/>
      <w:numFmt w:val="decimal"/>
      <w:suff w:val="nothing"/>
      <w:lvlText w:val="%1．"/>
      <w:lvlJc w:val="left"/>
      <w:pPr>
        <w:ind w:left="0" w:firstLine="0"/>
      </w:pPr>
    </w:lvl>
  </w:abstractNum>
  <w:num w:numId="1">
    <w:abstractNumId w:val="3"/>
    <w:lvlOverride w:ilvl="0">
      <w:startOverride w:val="2"/>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76761C8"/>
    <w:rsid w:val="07956271"/>
    <w:rsid w:val="09721397"/>
    <w:rsid w:val="0BB63BED"/>
    <w:rsid w:val="0EB97A43"/>
    <w:rsid w:val="0EBD2122"/>
    <w:rsid w:val="0F214EAE"/>
    <w:rsid w:val="11B71E6A"/>
    <w:rsid w:val="16C07A6B"/>
    <w:rsid w:val="1AAF0063"/>
    <w:rsid w:val="1BE140DE"/>
    <w:rsid w:val="220A0D41"/>
    <w:rsid w:val="248C197D"/>
    <w:rsid w:val="252959AF"/>
    <w:rsid w:val="277A6671"/>
    <w:rsid w:val="292D35B7"/>
    <w:rsid w:val="33EB6CFF"/>
    <w:rsid w:val="35A12947"/>
    <w:rsid w:val="37387040"/>
    <w:rsid w:val="3B625C0A"/>
    <w:rsid w:val="3CEE1963"/>
    <w:rsid w:val="4C9C27FE"/>
    <w:rsid w:val="512260B4"/>
    <w:rsid w:val="52BD6ACB"/>
    <w:rsid w:val="55537534"/>
    <w:rsid w:val="561A74F1"/>
    <w:rsid w:val="597244E8"/>
    <w:rsid w:val="59AA682C"/>
    <w:rsid w:val="5C813E68"/>
    <w:rsid w:val="5D4C129B"/>
    <w:rsid w:val="5EB71C30"/>
    <w:rsid w:val="5F7A4E70"/>
    <w:rsid w:val="66AF0CE5"/>
    <w:rsid w:val="6AC537CF"/>
    <w:rsid w:val="6E5B14A6"/>
    <w:rsid w:val="711B255E"/>
    <w:rsid w:val="72276C94"/>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envelope return"/>
    <w:basedOn w:val="1"/>
    <w:qFormat/>
    <w:uiPriority w:val="0"/>
    <w:pPr>
      <w:snapToGrid w:val="0"/>
    </w:pPr>
    <w:rPr>
      <w:rFonts w:ascii="Arial" w:hAnsi="Arial"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Body Text First Indent 2"/>
    <w:basedOn w:val="2"/>
    <w:next w:val="1"/>
    <w:qFormat/>
    <w:uiPriority w:val="0"/>
    <w:pPr>
      <w:ind w:firstLine="420" w:firstLineChars="200"/>
    </w:pPr>
  </w:style>
  <w:style w:type="paragraph" w:customStyle="1" w:styleId="9">
    <w:name w:val="_Style 1"/>
    <w:autoRedefine/>
    <w:qFormat/>
    <w:uiPriority w:val="0"/>
    <w:pPr>
      <w:widowControl w:val="0"/>
      <w:ind w:firstLine="200" w:firstLineChars="200"/>
      <w:jc w:val="both"/>
    </w:pPr>
    <w:rPr>
      <w:rFonts w:ascii="Times New Roman" w:hAnsi="Times New Roman" w:eastAsia="宋体" w:cs="Times New Roman"/>
      <w:sz w:val="28"/>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1108</Words>
  <Characters>1120</Characters>
  <Lines>4</Lines>
  <Paragraphs>1</Paragraphs>
  <TotalTime>4</TotalTime>
  <ScaleCrop>false</ScaleCrop>
  <LinksUpToDate>false</LinksUpToDate>
  <CharactersWithSpaces>1168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刘阳</cp:lastModifiedBy>
  <cp:lastPrinted>2026-03-17T02:41:00Z</cp:lastPrinted>
  <dcterms:modified xsi:type="dcterms:W3CDTF">2026-05-26T07:43:34Z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4A19074DC8414FE6B62EBFA35238C9D8</vt:lpwstr>
  </property>
  <property fmtid="{D5CDD505-2E9C-101B-9397-08002B2CF9AE}" pid="4" name="KSOTemplateDocerSaveRecord">
    <vt:lpwstr>eyJoZGlkIjoiNGQwMTcxMTU2MDMzNmYyMzQ0ZWU0YWEwNDg4ZWM5NGMiLCJ1c2VySWQiOiIxNjg4OTIxODE2In0=</vt:lpwstr>
  </property>
</Properties>
</file>