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E23CA">
      <w:pPr>
        <w:adjustRightInd w:val="0"/>
        <w:snapToGrid w:val="0"/>
        <w:spacing w:line="56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 w14:paraId="24D6AF31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 w14:paraId="4D4FE136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南村镇人民政府202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44"/>
          <w:szCs w:val="44"/>
        </w:rPr>
        <w:t>年度整体支出</w:t>
      </w:r>
    </w:p>
    <w:p w14:paraId="5633BD8A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绩效自评报告</w:t>
      </w:r>
    </w:p>
    <w:p w14:paraId="0480BA76"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 w14:paraId="55151E53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贯彻落实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石家庄市长安区财政局关于开展2025年绩效自评工作的通知精神，根据《石家庄市长安区区级部门项目绩效自评管理办法》（长财字【2020】16号）</w:t>
      </w:r>
      <w:r>
        <w:rPr>
          <w:rFonts w:hint="eastAsia" w:ascii="仿宋" w:hAnsi="仿宋" w:eastAsia="仿宋"/>
          <w:sz w:val="32"/>
          <w:szCs w:val="32"/>
        </w:rPr>
        <w:t>文件精神，遵循“科学性、规范性、客观性和公正性”的原则，对长安区南村镇人民政府202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年整体支出情况实施了财政支出绩效自评价，形成本评价报告。</w:t>
      </w:r>
    </w:p>
    <w:p w14:paraId="68A63C52">
      <w:pPr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一、部门</w:t>
      </w:r>
      <w:r>
        <w:rPr>
          <w:rFonts w:hint="eastAsia" w:ascii="黑体" w:hAnsi="黑体" w:eastAsia="黑体"/>
          <w:sz w:val="32"/>
          <w:szCs w:val="36"/>
        </w:rPr>
        <w:t>基本情况</w:t>
      </w:r>
    </w:p>
    <w:p w14:paraId="24C5AD0A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（一）部门概况</w:t>
      </w:r>
    </w:p>
    <w:p w14:paraId="4A58D4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ind w:firstLine="640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部门</w:t>
      </w:r>
      <w:r>
        <w:rPr>
          <w:rFonts w:ascii="Times New Roman" w:hAnsi="Times New Roman" w:eastAsia="方正仿宋_GBK" w:cs="Times New Roman"/>
          <w:b/>
          <w:sz w:val="32"/>
          <w:szCs w:val="32"/>
        </w:rPr>
        <w:t>职责：</w:t>
      </w:r>
    </w:p>
    <w:p w14:paraId="209CE99B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(一) 宣传党的路线、方针、政策和国家的法律、法规，对辖区居民进行思想政治教育、社会主义与法制教育和爱国主义教育。</w:t>
      </w:r>
    </w:p>
    <w:p w14:paraId="494F6419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(二)指导、帮助村级开展组织建设和制度建设，帮助解决实际困难和问题，加强对居委会干部队伍的建设和管理。协调辖区单位搞好社区党建，精神文明建设，形成同创共建的大好局面。</w:t>
      </w:r>
    </w:p>
    <w:p w14:paraId="24BCE222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(三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>讨论和决定镇经济建设、政治建设、文化建设、社会建设、生态文明建设和党的建设以及乡村振兴中的重大问题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做好社会救济，拥军优属工作，发展社会福利事业。</w:t>
      </w:r>
    </w:p>
    <w:p w14:paraId="26DA9C11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(四)</w:t>
      </w:r>
      <w:r>
        <w:rPr>
          <w:rFonts w:hint="eastAsia" w:ascii="仿宋" w:hAnsi="仿宋" w:eastAsia="仿宋"/>
          <w:color w:val="000000"/>
          <w:sz w:val="32"/>
          <w:szCs w:val="32"/>
        </w:rPr>
        <w:t>组织召开本级人民代表大会，充分行使重大事项决定权、监督权和任免权，做好人大代表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履职服务与联络工作</w:t>
      </w:r>
      <w:r>
        <w:rPr>
          <w:rFonts w:hint="eastAsia" w:ascii="仿宋" w:hAnsi="仿宋" w:eastAsia="仿宋"/>
          <w:color w:val="000000"/>
          <w:sz w:val="32"/>
          <w:szCs w:val="32"/>
        </w:rPr>
        <w:t>，联系选民、反映群众意见和要求。</w:t>
      </w:r>
    </w:p>
    <w:p w14:paraId="05652F2D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(五)积极参与城区建设和管理。</w:t>
      </w:r>
    </w:p>
    <w:p w14:paraId="2E132F60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(六)</w:t>
      </w:r>
      <w:r>
        <w:rPr>
          <w:rFonts w:hint="eastAsia" w:ascii="仿宋" w:hAnsi="仿宋" w:eastAsia="仿宋"/>
          <w:color w:val="000000"/>
          <w:sz w:val="32"/>
          <w:szCs w:val="32"/>
        </w:rPr>
        <w:t>领导本镇的基层治理，加强社会主义民主法治建设和精神文明建设，加强社会治安综合治理，做好应急管理、生态环保、乡村振兴、民生保障、脱贫致富、民族宗教、防范邪教等工作。承担民兵预备役、征兵、退役军人服务、拥军优属等工作。</w:t>
      </w:r>
    </w:p>
    <w:p w14:paraId="6C37A71A"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（七）</w:t>
      </w:r>
      <w:r>
        <w:rPr>
          <w:rFonts w:ascii="仿宋" w:hAnsi="仿宋" w:eastAsia="仿宋"/>
          <w:sz w:val="32"/>
          <w:szCs w:val="32"/>
        </w:rPr>
        <w:t>加强工青妇等社团工作，协助组织工作。</w:t>
      </w:r>
    </w:p>
    <w:p w14:paraId="3ECB2940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承办上级党委、人大、政府交办的其他事项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114C920"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b/>
          <w:sz w:val="32"/>
          <w:szCs w:val="32"/>
        </w:rPr>
        <w:t>机构设置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情况，</w:t>
      </w:r>
      <w:r>
        <w:rPr>
          <w:rFonts w:hint="eastAsia" w:ascii="仿宋" w:hAnsi="仿宋" w:eastAsia="仿宋"/>
          <w:b/>
          <w:sz w:val="32"/>
          <w:szCs w:val="32"/>
        </w:rPr>
        <w:t>包括当年变动情况及原因。</w:t>
      </w:r>
    </w:p>
    <w:p w14:paraId="7959C18D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从决算编报单位构成看，纳入202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 xml:space="preserve">年度本部门决算汇编范围的独立核算单位（以下简称“单位”）共1 个，具体情况如下： </w:t>
      </w:r>
    </w:p>
    <w:p w14:paraId="12B05828">
      <w:pPr>
        <w:spacing w:line="560" w:lineRule="exact"/>
        <w:jc w:val="both"/>
        <w:outlineLvl w:val="0"/>
        <w:rPr>
          <w:rFonts w:ascii="Times New Roman" w:hAnsi="Times New Roman" w:eastAsia="方正小标宋_GBK" w:cs="Times New Roman"/>
          <w:sz w:val="32"/>
          <w:szCs w:val="24"/>
        </w:rPr>
      </w:pPr>
    </w:p>
    <w:p w14:paraId="5F6E1991">
      <w:pPr>
        <w:spacing w:line="560" w:lineRule="exact"/>
        <w:jc w:val="center"/>
        <w:outlineLvl w:val="0"/>
        <w:rPr>
          <w:rFonts w:ascii="Times New Roman" w:hAnsi="Times New Roman" w:eastAsia="方正小标宋_GBK" w:cs="Times New Roman"/>
          <w:sz w:val="32"/>
          <w:szCs w:val="24"/>
        </w:rPr>
      </w:pPr>
      <w:r>
        <w:rPr>
          <w:rFonts w:ascii="Times New Roman" w:hAnsi="Times New Roman" w:eastAsia="方正小标宋_GBK" w:cs="Times New Roman"/>
          <w:sz w:val="32"/>
          <w:szCs w:val="24"/>
        </w:rPr>
        <w:t>部门</w:t>
      </w:r>
      <w:r>
        <w:rPr>
          <w:rFonts w:hint="eastAsia" w:ascii="Times New Roman" w:hAnsi="Times New Roman" w:eastAsia="方正小标宋_GBK" w:cs="Times New Roman"/>
          <w:sz w:val="32"/>
          <w:szCs w:val="24"/>
        </w:rPr>
        <w:t>机构设置情况</w:t>
      </w:r>
    </w:p>
    <w:tbl>
      <w:tblPr>
        <w:tblStyle w:val="8"/>
        <w:tblW w:w="972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1134"/>
        <w:gridCol w:w="1276"/>
        <w:gridCol w:w="2902"/>
      </w:tblGrid>
      <w:tr w14:paraId="0402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4417" w:type="dxa"/>
            <w:vMerge w:val="restart"/>
            <w:vAlign w:val="center"/>
          </w:tcPr>
          <w:p w14:paraId="5EFFC0D3">
            <w:pPr>
              <w:spacing w:line="560" w:lineRule="exact"/>
              <w:jc w:val="center"/>
              <w:rPr>
                <w:rFonts w:ascii="Times New Roman" w:hAnsi="Times New Roman" w:eastAsia="方正书宋_GBK"/>
                <w:b/>
                <w:szCs w:val="24"/>
              </w:rPr>
            </w:pPr>
            <w:r>
              <w:rPr>
                <w:rFonts w:ascii="Times New Roman" w:hAnsi="Times New Roman" w:eastAsia="方正书宋_GBK"/>
                <w:b/>
                <w:szCs w:val="24"/>
              </w:rPr>
              <w:t>单位名称</w:t>
            </w:r>
          </w:p>
        </w:tc>
        <w:tc>
          <w:tcPr>
            <w:tcW w:w="1134" w:type="dxa"/>
            <w:vMerge w:val="restart"/>
            <w:vAlign w:val="center"/>
          </w:tcPr>
          <w:p w14:paraId="61B76813">
            <w:pPr>
              <w:spacing w:line="560" w:lineRule="exact"/>
              <w:jc w:val="center"/>
              <w:rPr>
                <w:rFonts w:ascii="Times New Roman" w:hAnsi="Times New Roman" w:eastAsia="方正书宋_GBK"/>
                <w:b/>
                <w:szCs w:val="24"/>
              </w:rPr>
            </w:pPr>
            <w:r>
              <w:rPr>
                <w:rFonts w:ascii="Times New Roman" w:hAnsi="Times New Roman" w:eastAsia="方正书宋_GBK"/>
                <w:b/>
                <w:szCs w:val="24"/>
              </w:rPr>
              <w:t>单位性质</w:t>
            </w:r>
          </w:p>
        </w:tc>
        <w:tc>
          <w:tcPr>
            <w:tcW w:w="1276" w:type="dxa"/>
            <w:vMerge w:val="restart"/>
            <w:vAlign w:val="center"/>
          </w:tcPr>
          <w:p w14:paraId="62CB5ECC">
            <w:pPr>
              <w:spacing w:line="560" w:lineRule="exact"/>
              <w:jc w:val="center"/>
              <w:rPr>
                <w:rFonts w:ascii="Times New Roman" w:hAnsi="Times New Roman" w:eastAsia="方正书宋_GBK"/>
                <w:b/>
                <w:szCs w:val="24"/>
              </w:rPr>
            </w:pPr>
            <w:r>
              <w:rPr>
                <w:rFonts w:ascii="Times New Roman" w:hAnsi="Times New Roman" w:eastAsia="方正书宋_GBK"/>
                <w:b/>
                <w:szCs w:val="24"/>
              </w:rPr>
              <w:t>单位规格</w:t>
            </w:r>
          </w:p>
        </w:tc>
        <w:tc>
          <w:tcPr>
            <w:tcW w:w="2902" w:type="dxa"/>
            <w:vMerge w:val="restart"/>
            <w:vAlign w:val="center"/>
          </w:tcPr>
          <w:p w14:paraId="07B190CD">
            <w:pPr>
              <w:spacing w:line="560" w:lineRule="exact"/>
              <w:jc w:val="center"/>
              <w:rPr>
                <w:rFonts w:ascii="Times New Roman" w:hAnsi="Times New Roman" w:eastAsia="方正书宋_GBK"/>
                <w:b/>
                <w:szCs w:val="24"/>
              </w:rPr>
            </w:pPr>
            <w:r>
              <w:rPr>
                <w:rFonts w:ascii="Times New Roman" w:hAnsi="Times New Roman" w:eastAsia="方正书宋_GBK"/>
                <w:b/>
                <w:szCs w:val="24"/>
              </w:rPr>
              <w:t>经费保障形式</w:t>
            </w:r>
          </w:p>
        </w:tc>
      </w:tr>
      <w:tr w14:paraId="243119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4417" w:type="dxa"/>
            <w:vMerge w:val="continue"/>
            <w:vAlign w:val="center"/>
          </w:tcPr>
          <w:p w14:paraId="3B932AAB">
            <w:pPr>
              <w:spacing w:line="560" w:lineRule="exact"/>
              <w:jc w:val="left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3E94CB8">
            <w:pPr>
              <w:spacing w:line="560" w:lineRule="exact"/>
              <w:jc w:val="left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506ADB98">
            <w:pPr>
              <w:spacing w:line="560" w:lineRule="exact"/>
              <w:jc w:val="left"/>
              <w:outlineLvl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02" w:type="dxa"/>
            <w:vMerge w:val="continue"/>
            <w:vAlign w:val="center"/>
          </w:tcPr>
          <w:p w14:paraId="454BA1F7">
            <w:pPr>
              <w:spacing w:line="560" w:lineRule="exact"/>
              <w:jc w:val="left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14:paraId="006ECB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417" w:type="dxa"/>
            <w:vAlign w:val="center"/>
          </w:tcPr>
          <w:p w14:paraId="5B01844A">
            <w:pPr>
              <w:spacing w:line="300" w:lineRule="exact"/>
              <w:jc w:val="left"/>
              <w:rPr>
                <w:rFonts w:ascii="方正书宋_GBK" w:eastAsia="方正书宋_GBK"/>
              </w:rPr>
            </w:pPr>
            <w:r>
              <w:rPr>
                <w:rFonts w:hint="eastAsia" w:ascii="方正书宋_GBK" w:eastAsia="方正书宋_GBK"/>
              </w:rPr>
              <w:t>石家庄市长安区南村镇人民政府本级</w:t>
            </w:r>
          </w:p>
        </w:tc>
        <w:tc>
          <w:tcPr>
            <w:tcW w:w="1134" w:type="dxa"/>
            <w:vAlign w:val="center"/>
          </w:tcPr>
          <w:p w14:paraId="2504109F">
            <w:pPr>
              <w:spacing w:line="300" w:lineRule="exact"/>
              <w:jc w:val="center"/>
              <w:rPr>
                <w:rFonts w:ascii="方正书宋_GBK" w:eastAsia="方正书宋_GBK"/>
              </w:rPr>
            </w:pPr>
            <w:r>
              <w:rPr>
                <w:rFonts w:hint="eastAsia" w:ascii="方正书宋_GBK" w:eastAsia="方正书宋_GBK"/>
              </w:rPr>
              <w:t>行政</w:t>
            </w:r>
          </w:p>
        </w:tc>
        <w:tc>
          <w:tcPr>
            <w:tcW w:w="1276" w:type="dxa"/>
            <w:vAlign w:val="center"/>
          </w:tcPr>
          <w:p w14:paraId="0BD7FFBF">
            <w:pPr>
              <w:spacing w:line="300" w:lineRule="exact"/>
              <w:jc w:val="center"/>
              <w:rPr>
                <w:rFonts w:ascii="方正书宋_GBK" w:eastAsia="方正书宋_GBK"/>
              </w:rPr>
            </w:pPr>
            <w:r>
              <w:rPr>
                <w:rFonts w:hint="eastAsia" w:ascii="方正书宋_GBK" w:eastAsia="方正书宋_GBK"/>
              </w:rPr>
              <w:t>正科级</w:t>
            </w:r>
          </w:p>
        </w:tc>
        <w:tc>
          <w:tcPr>
            <w:tcW w:w="2902" w:type="dxa"/>
            <w:vAlign w:val="center"/>
          </w:tcPr>
          <w:p w14:paraId="3EB25B15">
            <w:pPr>
              <w:spacing w:line="300" w:lineRule="exact"/>
              <w:jc w:val="center"/>
              <w:rPr>
                <w:rFonts w:ascii="方正书宋_GBK" w:eastAsia="方正书宋_GBK"/>
              </w:rPr>
            </w:pPr>
            <w:r>
              <w:rPr>
                <w:rFonts w:hint="eastAsia" w:ascii="方正书宋_GBK" w:eastAsia="方正书宋_GBK"/>
              </w:rPr>
              <w:t>财政拨款</w:t>
            </w:r>
          </w:p>
        </w:tc>
      </w:tr>
    </w:tbl>
    <w:p w14:paraId="7F2C83B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石家庄市长安区南村镇人民政府设8个内设机构：党政综合办公室、党建工作办公室、综合行政执法队、行政综合服务中心、退役军人服务站、社会建设和物业监督管理办法。</w:t>
      </w:r>
    </w:p>
    <w:p w14:paraId="055219E3">
      <w:pPr>
        <w:numPr>
          <w:ilvl w:val="0"/>
          <w:numId w:val="0"/>
        </w:numPr>
        <w:snapToGrid w:val="0"/>
        <w:spacing w:line="560" w:lineRule="exact"/>
        <w:ind w:left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b/>
          <w:sz w:val="32"/>
          <w:szCs w:val="32"/>
        </w:rPr>
        <w:t>人员情况，包括当年变动情况及原因。</w:t>
      </w:r>
    </w:p>
    <w:p w14:paraId="786D66BB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年，我单位共计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/>
          <w:sz w:val="32"/>
          <w:szCs w:val="32"/>
        </w:rPr>
        <w:t>人，其中在职6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人，退休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人。行政编制人员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人，事业人员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/>
          <w:sz w:val="32"/>
          <w:szCs w:val="32"/>
        </w:rPr>
        <w:t>人。</w:t>
      </w:r>
    </w:p>
    <w:p w14:paraId="00D86B15">
      <w:pPr>
        <w:numPr>
          <w:ilvl w:val="0"/>
          <w:numId w:val="0"/>
        </w:numPr>
        <w:snapToGrid w:val="0"/>
        <w:spacing w:line="560" w:lineRule="exact"/>
        <w:ind w:left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4、固定资产情况</w:t>
      </w:r>
    </w:p>
    <w:p w14:paraId="35CD9613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年度末固定资产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原值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319.09万元，</w:t>
      </w:r>
      <w:r>
        <w:rPr>
          <w:rFonts w:hint="eastAsia" w:ascii="仿宋" w:hAnsi="仿宋" w:eastAsia="仿宋"/>
          <w:sz w:val="32"/>
          <w:szCs w:val="32"/>
        </w:rPr>
        <w:t>累计折旧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162.33万</w:t>
      </w:r>
      <w:r>
        <w:rPr>
          <w:rFonts w:hint="eastAsia" w:ascii="仿宋" w:hAnsi="仿宋" w:eastAsia="仿宋"/>
          <w:sz w:val="32"/>
          <w:szCs w:val="32"/>
          <w:highlight w:val="none"/>
        </w:rPr>
        <w:t>元，净值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156.76万</w:t>
      </w:r>
      <w:r>
        <w:rPr>
          <w:rFonts w:hint="eastAsia" w:ascii="仿宋" w:hAnsi="仿宋" w:eastAsia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。</w:t>
      </w:r>
    </w:p>
    <w:p w14:paraId="41295A60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（二）部门收支预决算情况</w:t>
      </w:r>
    </w:p>
    <w:p w14:paraId="071AD842">
      <w:pPr>
        <w:adjustRightInd w:val="0"/>
        <w:snapToGrid w:val="0"/>
        <w:spacing w:line="560" w:lineRule="exact"/>
        <w:ind w:firstLine="627" w:firstLineChars="196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  <w:highlight w:val="none"/>
        </w:rPr>
        <w:t>年预算收入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6895.93万</w:t>
      </w:r>
      <w:r>
        <w:rPr>
          <w:rFonts w:hint="eastAsia" w:ascii="仿宋" w:hAnsi="仿宋" w:eastAsia="仿宋"/>
          <w:sz w:val="32"/>
          <w:szCs w:val="32"/>
          <w:highlight w:val="none"/>
        </w:rPr>
        <w:t>元,其中一般公共预算收入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6615.93万</w:t>
      </w:r>
      <w:r>
        <w:rPr>
          <w:rFonts w:hint="eastAsia" w:ascii="仿宋" w:hAnsi="仿宋" w:eastAsia="仿宋"/>
          <w:sz w:val="32"/>
          <w:szCs w:val="32"/>
          <w:highlight w:val="none"/>
        </w:rPr>
        <w:t>元，政府性基金预算收入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0万</w:t>
      </w:r>
      <w:r>
        <w:rPr>
          <w:rFonts w:hint="eastAsia" w:ascii="仿宋" w:hAnsi="仿宋" w:eastAsia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上年结转结余280万元</w:t>
      </w:r>
      <w:r>
        <w:rPr>
          <w:rFonts w:hint="eastAsia" w:ascii="仿宋" w:hAnsi="仿宋" w:eastAsia="仿宋"/>
          <w:sz w:val="32"/>
          <w:szCs w:val="32"/>
          <w:highlight w:val="none"/>
        </w:rPr>
        <w:t>。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" w:hAnsi="仿宋" w:eastAsia="仿宋"/>
          <w:sz w:val="32"/>
          <w:szCs w:val="32"/>
          <w:highlight w:val="none"/>
        </w:rPr>
        <w:t>年预算支出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6895.93万</w:t>
      </w:r>
      <w:r>
        <w:rPr>
          <w:rFonts w:hint="eastAsia" w:ascii="仿宋" w:hAnsi="仿宋" w:eastAsia="仿宋"/>
          <w:sz w:val="32"/>
          <w:szCs w:val="32"/>
          <w:highlight w:val="none"/>
        </w:rPr>
        <w:t>元，其中基本支出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1476.48万</w:t>
      </w:r>
      <w:r>
        <w:rPr>
          <w:rFonts w:hint="eastAsia" w:ascii="仿宋" w:hAnsi="仿宋" w:eastAsia="仿宋"/>
          <w:sz w:val="32"/>
          <w:szCs w:val="32"/>
          <w:highlight w:val="none"/>
        </w:rPr>
        <w:t>元，项目支出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5419.45万</w:t>
      </w:r>
      <w:r>
        <w:rPr>
          <w:rFonts w:hint="eastAsia" w:ascii="仿宋" w:hAnsi="仿宋" w:eastAsia="仿宋"/>
          <w:sz w:val="32"/>
          <w:szCs w:val="32"/>
          <w:highlight w:val="none"/>
        </w:rPr>
        <w:t>元。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2025年决算收入6895.93万</w:t>
      </w:r>
      <w:r>
        <w:rPr>
          <w:rFonts w:hint="eastAsia" w:ascii="仿宋" w:hAnsi="仿宋" w:eastAsia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决算支出6895.93万</w:t>
      </w:r>
      <w:r>
        <w:rPr>
          <w:rFonts w:hint="eastAsia" w:ascii="仿宋" w:hAnsi="仿宋" w:eastAsia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。</w:t>
      </w:r>
    </w:p>
    <w:p w14:paraId="2BA4F1D7">
      <w:pPr>
        <w:adjustRightInd w:val="0"/>
        <w:snapToGrid w:val="0"/>
        <w:spacing w:line="560" w:lineRule="exact"/>
        <w:ind w:firstLine="630" w:firstLineChars="196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（三）部门整体支出绩效目标、指标</w:t>
      </w:r>
    </w:p>
    <w:p w14:paraId="60FBCC97">
      <w:pPr>
        <w:snapToGrid w:val="0"/>
        <w:spacing w:line="580" w:lineRule="atLeast"/>
        <w:ind w:firstLine="64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总体绩效目标：</w:t>
      </w:r>
      <w:r>
        <w:rPr>
          <w:rFonts w:hint="eastAsia" w:ascii="仿宋" w:hAnsi="仿宋" w:eastAsia="仿宋"/>
          <w:sz w:val="32"/>
          <w:szCs w:val="32"/>
          <w:highlight w:val="none"/>
        </w:rPr>
        <w:t>在区委、区政府领导下，以习近平新时代中国特色社会主义思想为指导，全面落实党的二十大精神，践行新发展理念。聚焦经济发展、基层治理、民生改善、生态环保、安全稳定五大方向，围绕中心、服务大局，以高质量财务绩效管理为抓手，推动全镇经济提质增效、城乡环境优化、公共服务均等、社会和谐稳定，提升群众获得感、幸福感、安全感，开拓创新、与时俱进，形成同创共建大好局面，提升南村镇综合效能，为加快新时代 “经济强区、美丽长安” 建设贡献南村力量。</w:t>
      </w:r>
    </w:p>
    <w:p w14:paraId="48547A33">
      <w:pPr>
        <w:spacing w:line="500" w:lineRule="exact"/>
        <w:ind w:firstLine="480" w:firstLineChars="15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（一）多措并举推动经济社会发展</w:t>
      </w:r>
    </w:p>
    <w:p w14:paraId="4166AA50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绩效目标：加快推进项目建设、加强就业再就业工作、巩固“双创”工作成果。</w:t>
      </w:r>
    </w:p>
    <w:p w14:paraId="5644434E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指标：与项目方进行对接，建立常态化联系，实行一周一走访，主动为其排忧解难；开展大众创业万众创新活动，及时将融资支持等各项企业扶持政策通报给各创业企业、人员，并公布相关政策咨询电话，帮助解决居民和企业的诉求和困难；加强辖区路面及小区环境巡察，保持干净卫生整洁环境。</w:t>
      </w:r>
    </w:p>
    <w:p w14:paraId="00EE49BF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（二）全力以赴做好安全环保维稳工作。</w:t>
      </w:r>
    </w:p>
    <w:p w14:paraId="22534786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绩效目标：继续开展辖区安全隐患大排查，确保不发生较大以上安全事故；加强大气污染治理，确保南村辖区环境空气质量得到持续改善；用心尽责化解矛盾纠纷。</w:t>
      </w:r>
    </w:p>
    <w:p w14:paraId="0D291734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指标：持之以恒抓好安全生产、消防安全和食药品安全，督促主体单位落实各项防范措施，较大以上安全事故为0；全力抓好秋冬季大气污染治理，妥善应对重污染天气，南村辖区环境空气质量得到持续改善；发展新时代“枫桥经验”，用心尽责化解矛盾纠纷，维护辖区和谐稳定，纠纷排查满意率达70%以上。</w:t>
      </w:r>
    </w:p>
    <w:p w14:paraId="2D76111E">
      <w:pPr>
        <w:spacing w:line="5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ascii="仿宋" w:hAnsi="仿宋" w:eastAsia="仿宋"/>
          <w:sz w:val="32"/>
          <w:szCs w:val="32"/>
        </w:rPr>
        <w:t>）持续深化干部队伍作风建设，推进全面从严治党</w:t>
      </w:r>
    </w:p>
    <w:p w14:paraId="56AC5665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绩效目标：紧紧围绕“三型”机关创建，进一步振奋精神，改进作风，强化政治担当，扣紧责任链条，坚持零容忍的态度不变。</w:t>
      </w:r>
    </w:p>
    <w:p w14:paraId="0FABA7A3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绩效指标：不折不扣落实巡视整改工作，彻底整改；镇党政班子成员工作重心下沉，每周到分包社区进行现场办公，接待群众来访；深入开展“双问计”活动了解实情、寻找智慧，对提出的意见建议对照自省、虚心接纳，对反映的困难或诉求靠前服务、积极解决；镇域社区作风建设进一步加强，全体工作人员对标对表先进单位，以争先进位的劲头和勇气，持之以恒做好各项工作；坚持党委书记作为第一责任人主抓全面从严治党工作，党委每2个月召开1次专题会议，一年专题会议不少于5次；严格执行“三会一课”、民主生活会等制度，党小组会、支部委员会每月一次，党员大会、党课每季度一次，民主生活会按上级要求召开，推动党支部组织生活正常化、规范化；严肃党内政治生活。</w:t>
      </w:r>
    </w:p>
    <w:p w14:paraId="2073492F">
      <w:pPr>
        <w:tabs>
          <w:tab w:val="left" w:pos="788"/>
        </w:tabs>
        <w:adjustRightInd w:val="0"/>
        <w:snapToGrid w:val="0"/>
        <w:spacing w:line="600" w:lineRule="exact"/>
        <w:ind w:firstLine="643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ab/>
      </w:r>
      <w:r>
        <w:rPr>
          <w:rFonts w:hint="eastAsia" w:ascii="黑体" w:hAnsi="黑体" w:eastAsia="黑体"/>
          <w:sz w:val="32"/>
          <w:szCs w:val="32"/>
        </w:rPr>
        <w:t>二、自评工作开展情况</w:t>
      </w:r>
    </w:p>
    <w:p w14:paraId="3E256031">
      <w:pPr>
        <w:spacing w:line="560" w:lineRule="exact"/>
        <w:rPr>
          <w:rFonts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（一）自评的组织工作</w:t>
      </w:r>
    </w:p>
    <w:p w14:paraId="6B178153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镇成立由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党政办</w:t>
      </w:r>
      <w:r>
        <w:rPr>
          <w:rFonts w:hint="eastAsia" w:ascii="仿宋" w:hAnsi="仿宋" w:eastAsia="仿宋"/>
          <w:sz w:val="32"/>
          <w:szCs w:val="32"/>
        </w:rPr>
        <w:t>牵头，相关业务科室配合组织实施的工作领导小组。明确了各部门的职责，即党政办公室主要负责预算项目及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执行</w:t>
      </w:r>
      <w:r>
        <w:rPr>
          <w:rFonts w:hint="eastAsia" w:ascii="仿宋" w:hAnsi="仿宋" w:eastAsia="仿宋"/>
          <w:sz w:val="32"/>
          <w:szCs w:val="32"/>
        </w:rPr>
        <w:t>项目的资金使用情况，其他业务科室负责提供项目实施过程的计划及总结的工作职责，工作组组长为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孙君副书记</w:t>
      </w:r>
      <w:r>
        <w:rPr>
          <w:rFonts w:hint="eastAsia" w:ascii="仿宋" w:hAnsi="仿宋" w:eastAsia="仿宋"/>
          <w:sz w:val="32"/>
          <w:szCs w:val="32"/>
        </w:rPr>
        <w:t>，其他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/>
          <w:sz w:val="32"/>
          <w:szCs w:val="32"/>
        </w:rPr>
        <w:t>主要科室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所</w:t>
      </w:r>
      <w:r>
        <w:rPr>
          <w:rFonts w:hint="eastAsia" w:ascii="仿宋" w:hAnsi="仿宋" w:eastAsia="仿宋"/>
          <w:sz w:val="32"/>
          <w:szCs w:val="32"/>
        </w:rPr>
        <w:t>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作为</w:t>
      </w:r>
      <w:r>
        <w:rPr>
          <w:rFonts w:hint="eastAsia" w:ascii="仿宋" w:hAnsi="仿宋" w:eastAsia="仿宋"/>
          <w:sz w:val="32"/>
          <w:szCs w:val="32"/>
        </w:rPr>
        <w:t>成员。</w:t>
      </w:r>
    </w:p>
    <w:p w14:paraId="4D8E9DA7">
      <w:pPr>
        <w:numPr>
          <w:ilvl w:val="0"/>
          <w:numId w:val="1"/>
        </w:numPr>
        <w:spacing w:line="560" w:lineRule="exact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自评的方法和过程</w:t>
      </w:r>
    </w:p>
    <w:p w14:paraId="2F61C608">
      <w:pPr>
        <w:spacing w:line="560" w:lineRule="exact"/>
        <w:ind w:left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年财政支出项目自评范围包括按照全覆盖原则，对</w:t>
      </w:r>
    </w:p>
    <w:p w14:paraId="73091932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年度所有区级预算项目（包括专项项目和专项公用）进行绩效自评，我</w:t>
      </w:r>
      <w:r>
        <w:rPr>
          <w:rFonts w:hint="eastAsia" w:ascii="仿宋" w:hAnsi="仿宋" w:eastAsia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年度共有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个项目，分别是：</w:t>
      </w:r>
      <w:r>
        <w:rPr>
          <w:rFonts w:hint="eastAsia" w:ascii="仿宋" w:hAnsi="仿宋" w:eastAsia="仿宋" w:cs="Times New Roman"/>
          <w:sz w:val="32"/>
          <w:lang w:val="en-US" w:eastAsia="zh-CN"/>
        </w:rPr>
        <w:t>街镇工作经费、项目款</w:t>
      </w:r>
      <w:r>
        <w:rPr>
          <w:rFonts w:hint="eastAsia" w:ascii="仿宋" w:hAnsi="仿宋" w:eastAsia="仿宋"/>
          <w:b w:val="0"/>
          <w:bCs/>
          <w:sz w:val="32"/>
          <w:lang w:val="en-US" w:eastAsia="zh-CN"/>
        </w:rPr>
        <w:t>、2024年党建惠民项目资金、</w:t>
      </w:r>
      <w:r>
        <w:rPr>
          <w:rFonts w:hint="eastAsia" w:ascii="仿宋" w:hAnsi="仿宋" w:eastAsia="仿宋"/>
          <w:sz w:val="32"/>
          <w:lang w:val="zh-CN"/>
        </w:rPr>
        <w:t>共涉及预算资金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5419.45</w:t>
      </w:r>
      <w:r>
        <w:rPr>
          <w:rFonts w:hint="eastAsia" w:ascii="仿宋" w:hAnsi="仿宋" w:eastAsia="仿宋"/>
          <w:sz w:val="32"/>
          <w:lang w:val="zh-CN"/>
        </w:rPr>
        <w:t>万元</w:t>
      </w:r>
      <w:r>
        <w:rPr>
          <w:rFonts w:hint="eastAsia" w:ascii="仿宋" w:hAnsi="仿宋" w:eastAsia="仿宋"/>
          <w:sz w:val="32"/>
          <w:szCs w:val="32"/>
        </w:rPr>
        <w:t>。同时我单位选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街镇工作经费</w:t>
      </w:r>
      <w:r>
        <w:rPr>
          <w:rFonts w:hint="eastAsia" w:ascii="仿宋" w:hAnsi="仿宋" w:eastAsia="仿宋"/>
          <w:sz w:val="32"/>
          <w:szCs w:val="32"/>
        </w:rPr>
        <w:t>为重点项目进行重点评价。</w:t>
      </w:r>
    </w:p>
    <w:p w14:paraId="0CC9749D">
      <w:pPr>
        <w:spacing w:line="560" w:lineRule="exac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三、部门整体支出绩效目标实现情况及指标分析</w:t>
      </w:r>
    </w:p>
    <w:p w14:paraId="6D4CB82B">
      <w:pPr>
        <w:numPr>
          <w:ilvl w:val="0"/>
          <w:numId w:val="2"/>
        </w:numPr>
        <w:spacing w:line="560" w:lineRule="exact"/>
        <w:ind w:firstLine="643" w:firstLineChars="200"/>
        <w:rPr>
          <w:rFonts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总体绩效目标实现情况</w:t>
      </w:r>
    </w:p>
    <w:p w14:paraId="4AF324D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年度，我镇整体绩效目标基本实现。</w:t>
      </w:r>
    </w:p>
    <w:p w14:paraId="05C292BC"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（二）分项绩效目标实现情况及指标分析</w:t>
      </w:r>
    </w:p>
    <w:p w14:paraId="0A2B9C5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按照预算绩效文本中分项绩效目标、指标，从完成数量、质量、时效、成本效益等方面，我镇分项目标指标已基本完成。</w:t>
      </w:r>
    </w:p>
    <w:p w14:paraId="224B4127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四、项目综合评价结论和评价等级</w:t>
      </w:r>
    </w:p>
    <w:p w14:paraId="3FEF084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根据部门职责定位和各项工作履职情况进行综合评价，给出总得分，满分100分，得出综合绩效评价等级。部门整体支出综合绩效评价分为4个等级：得分</w:t>
      </w:r>
      <w:r>
        <w:rPr>
          <w:rFonts w:ascii="仿宋" w:hAnsi="仿宋" w:eastAsia="仿宋" w:cs="Arial"/>
          <w:sz w:val="32"/>
          <w:szCs w:val="32"/>
        </w:rPr>
        <w:t>≥</w:t>
      </w:r>
      <w:r>
        <w:rPr>
          <w:rFonts w:hint="eastAsia" w:ascii="仿宋" w:hAnsi="仿宋" w:eastAsia="仿宋"/>
          <w:sz w:val="32"/>
          <w:szCs w:val="32"/>
        </w:rPr>
        <w:t>85分为优秀；75</w:t>
      </w:r>
      <w:r>
        <w:rPr>
          <w:rFonts w:ascii="仿宋" w:hAnsi="仿宋" w:eastAsia="仿宋" w:cs="Arial"/>
          <w:sz w:val="32"/>
          <w:szCs w:val="32"/>
        </w:rPr>
        <w:t>≤</w:t>
      </w:r>
      <w:r>
        <w:rPr>
          <w:rFonts w:hint="eastAsia" w:ascii="仿宋" w:hAnsi="仿宋" w:eastAsia="仿宋"/>
          <w:sz w:val="32"/>
          <w:szCs w:val="32"/>
        </w:rPr>
        <w:t>得分＜85分为良好；60</w:t>
      </w:r>
      <w:r>
        <w:rPr>
          <w:rFonts w:ascii="仿宋" w:hAnsi="仿宋" w:eastAsia="仿宋" w:cs="Arial"/>
          <w:sz w:val="32"/>
          <w:szCs w:val="32"/>
        </w:rPr>
        <w:t>≤</w:t>
      </w:r>
      <w:r>
        <w:rPr>
          <w:rFonts w:hint="eastAsia" w:ascii="仿宋" w:hAnsi="仿宋" w:eastAsia="仿宋"/>
          <w:sz w:val="32"/>
          <w:szCs w:val="32"/>
        </w:rPr>
        <w:t>得分＜75分为一般；得分＜60分为较差。</w:t>
      </w:r>
    </w:p>
    <w:p w14:paraId="0D750D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根据部门职责定位和各项工作履职情况进行综合评价，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部分</w:t>
      </w:r>
      <w:r>
        <w:rPr>
          <w:rFonts w:hint="eastAsia" w:ascii="仿宋" w:hAnsi="仿宋" w:eastAsia="仿宋"/>
          <w:sz w:val="32"/>
          <w:szCs w:val="32"/>
        </w:rPr>
        <w:t>项目资金支出良好。</w:t>
      </w:r>
    </w:p>
    <w:p w14:paraId="38E24400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五、存在的问题及改进措施</w:t>
      </w:r>
    </w:p>
    <w:p w14:paraId="6A4ABAFA"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（一）项目存在的主要问题</w:t>
      </w:r>
    </w:p>
    <w:p w14:paraId="76AA53C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个别项目绩效细化程度有待提高，</w:t>
      </w:r>
      <w:r>
        <w:rPr>
          <w:rFonts w:hint="eastAsia" w:ascii="仿宋" w:hAnsi="仿宋" w:eastAsia="仿宋"/>
          <w:sz w:val="32"/>
          <w:szCs w:val="32"/>
        </w:rPr>
        <w:t>‌目标设置不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太</w:t>
      </w:r>
      <w:r>
        <w:rPr>
          <w:rFonts w:hint="eastAsia" w:ascii="仿宋" w:hAnsi="仿宋" w:eastAsia="仿宋"/>
          <w:sz w:val="32"/>
          <w:szCs w:val="32"/>
        </w:rPr>
        <w:t>科学‌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绩效指标设置与项目实际关联度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较低</w:t>
      </w:r>
      <w:r>
        <w:rPr>
          <w:rFonts w:hint="eastAsia" w:ascii="仿宋" w:hAnsi="仿宋" w:eastAsia="仿宋"/>
          <w:sz w:val="32"/>
          <w:szCs w:val="32"/>
        </w:rPr>
        <w:t>，套用共性指标多而个性化不足，定量指标少且定性描述宽泛，导致评价难以精准衡量</w:t>
      </w:r>
      <w:r>
        <w:rPr>
          <w:rFonts w:hint="eastAsia" w:ascii="仿宋" w:hAnsi="仿宋" w:eastAsia="仿宋"/>
          <w:sz w:val="32"/>
          <w:szCs w:val="32"/>
          <w:lang w:eastAsia="zh-CN"/>
        </w:rPr>
        <w:t>；自评质量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有待提高</w:t>
      </w:r>
      <w:r>
        <w:rPr>
          <w:rFonts w:hint="eastAsia" w:ascii="仿宋" w:hAnsi="仿宋" w:eastAsia="仿宋"/>
          <w:sz w:val="32"/>
          <w:szCs w:val="32"/>
          <w:lang w:eastAsia="zh-CN"/>
        </w:rPr>
        <w:t>‌；对预算执行率低、目标未完成等问题未深入分析原因，整改建议缺乏针对性。</w:t>
      </w:r>
    </w:p>
    <w:p w14:paraId="14EF85BB"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（二）针对问题提出具体的改进措施或建议</w:t>
      </w:r>
    </w:p>
    <w:p w14:paraId="2CA8C89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>强化组织管理‌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/>
          <w:sz w:val="32"/>
          <w:szCs w:val="32"/>
        </w:rPr>
        <w:t>成立绩效评价领导小组，明确责任分工，将绩效管理与业务工作同步部署、考核，通过定期培训提升全员重视程度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default" w:ascii="仿宋" w:hAnsi="仿宋" w:eastAsia="仿宋"/>
          <w:sz w:val="32"/>
          <w:szCs w:val="32"/>
        </w:rPr>
        <w:t>‌规范自评流程‌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default" w:ascii="仿宋" w:hAnsi="仿宋" w:eastAsia="仿宋"/>
          <w:sz w:val="32"/>
          <w:szCs w:val="32"/>
        </w:rPr>
        <w:t>制定标准化填报模板，确保报告内容完整、问题分析透彻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default" w:ascii="仿宋" w:hAnsi="仿宋" w:eastAsia="仿宋"/>
          <w:sz w:val="32"/>
          <w:szCs w:val="32"/>
        </w:rPr>
        <w:t>‌科学设置绩效目标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今后我镇将进一步细化专项资金的使用管理制度、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提高拨付效率，确保资金及时足额到位</w:t>
      </w:r>
      <w:r>
        <w:rPr>
          <w:rFonts w:hint="eastAsia" w:ascii="仿宋" w:hAnsi="仿宋" w:eastAsia="仿宋"/>
          <w:sz w:val="32"/>
          <w:szCs w:val="32"/>
        </w:rPr>
        <w:t>，建立健全专项资金的审核制度、内控制度和资金使用台账制度，</w:t>
      </w:r>
    </w:p>
    <w:p w14:paraId="01E51B24">
      <w:pPr>
        <w:spacing w:line="560" w:lineRule="exact"/>
        <w:rPr>
          <w:rFonts w:ascii="仿宋" w:hAnsi="仿宋" w:eastAsia="仿宋"/>
        </w:rPr>
      </w:pPr>
      <w:r>
        <w:rPr>
          <w:rFonts w:hint="eastAsia" w:ascii="仿宋" w:hAnsi="仿宋" w:eastAsia="仿宋"/>
          <w:sz w:val="32"/>
          <w:szCs w:val="32"/>
        </w:rPr>
        <w:t>确保资金使用安全。</w:t>
      </w:r>
    </w:p>
    <w:p w14:paraId="1C013A69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六、评价工作组人员名单及签字（姓名、工作单位、职务、职称）</w:t>
      </w:r>
    </w:p>
    <w:p w14:paraId="25646CB5">
      <w:pPr>
        <w:spacing w:line="560" w:lineRule="exact"/>
        <w:ind w:left="105" w:leftChars="50" w:right="98"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 长：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庞英良</w:t>
      </w:r>
      <w:r>
        <w:rPr>
          <w:rFonts w:hint="eastAsia" w:ascii="仿宋" w:hAnsi="仿宋" w:eastAsia="仿宋"/>
          <w:sz w:val="32"/>
          <w:szCs w:val="32"/>
        </w:rPr>
        <w:t xml:space="preserve">   党委书记</w:t>
      </w:r>
    </w:p>
    <w:p w14:paraId="32287255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 xml:space="preserve">               </w:t>
      </w:r>
      <w:r>
        <w:rPr>
          <w:rFonts w:hint="eastAsia" w:ascii="Times New Roman" w:hAnsi="Times New Roman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甄  诚    </w:t>
      </w:r>
      <w:r>
        <w:rPr>
          <w:rFonts w:hint="eastAsia" w:ascii="仿宋" w:hAnsi="仿宋" w:eastAsia="仿宋"/>
          <w:sz w:val="32"/>
          <w:szCs w:val="32"/>
        </w:rPr>
        <w:t>镇    长</w:t>
      </w:r>
    </w:p>
    <w:p w14:paraId="746BF5CD">
      <w:pPr>
        <w:spacing w:line="560" w:lineRule="exact"/>
        <w:rPr>
          <w:rFonts w:ascii="仿宋" w:hAnsi="仿宋" w:eastAsia="仿宋"/>
          <w:sz w:val="31"/>
          <w:szCs w:val="31"/>
        </w:rPr>
      </w:pP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 xml:space="preserve">        </w:t>
      </w:r>
      <w:r>
        <w:rPr>
          <w:rFonts w:hint="eastAsia" w:ascii="仿宋" w:hAnsi="仿宋" w:eastAsia="仿宋"/>
          <w:sz w:val="31"/>
          <w:szCs w:val="31"/>
        </w:rPr>
        <w:t>职 责：全面统筹、协调各业务部门做好项目评价工作。</w:t>
      </w:r>
    </w:p>
    <w:p w14:paraId="33243D8A">
      <w:pPr>
        <w:spacing w:line="56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副组长：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胡  静    人大主席</w:t>
      </w:r>
    </w:p>
    <w:p w14:paraId="05F9F259">
      <w:pPr>
        <w:spacing w:line="560" w:lineRule="exact"/>
        <w:ind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孙  君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副书记</w:t>
      </w:r>
    </w:p>
    <w:p w14:paraId="3E50AF15">
      <w:pPr>
        <w:spacing w:line="560" w:lineRule="exact"/>
        <w:ind w:right="523"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康利华    </w:t>
      </w:r>
      <w:r>
        <w:rPr>
          <w:rFonts w:hint="eastAsia" w:ascii="仿宋" w:hAnsi="仿宋" w:eastAsia="仿宋"/>
          <w:sz w:val="32"/>
          <w:szCs w:val="32"/>
        </w:rPr>
        <w:t>纪委书记</w:t>
      </w:r>
    </w:p>
    <w:p w14:paraId="0BA3E11E">
      <w:pPr>
        <w:spacing w:line="560" w:lineRule="exact"/>
        <w:ind w:right="1440"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王云卿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政法委员 </w:t>
      </w:r>
    </w:p>
    <w:p w14:paraId="1AB42ED4">
      <w:pPr>
        <w:spacing w:line="560" w:lineRule="exact"/>
        <w:ind w:right="98" w:firstLine="2240" w:firstLineChars="7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赵子征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武装部长</w:t>
      </w:r>
    </w:p>
    <w:p w14:paraId="78862907">
      <w:pPr>
        <w:spacing w:line="560" w:lineRule="exact"/>
        <w:ind w:right="98" w:firstLine="2240" w:firstLineChars="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柴  江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副镇长 </w:t>
      </w:r>
    </w:p>
    <w:p w14:paraId="3A3FFA9B">
      <w:pPr>
        <w:spacing w:line="560" w:lineRule="exact"/>
        <w:ind w:right="1440" w:firstLine="2240" w:firstLineChars="7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王万里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副镇长</w:t>
      </w:r>
    </w:p>
    <w:p w14:paraId="73C5E3AF">
      <w:pPr>
        <w:spacing w:line="560" w:lineRule="exact"/>
        <w:ind w:right="1440" w:firstLine="2240" w:firstLineChars="7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邢子辉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人大副主席</w:t>
      </w:r>
    </w:p>
    <w:p w14:paraId="4C384A62">
      <w:pPr>
        <w:spacing w:line="560" w:lineRule="exact"/>
        <w:ind w:right="1440" w:firstLine="2240" w:firstLineChars="7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武领慧    组织委员 </w:t>
      </w:r>
    </w:p>
    <w:p w14:paraId="0168DEC1">
      <w:pPr>
        <w:spacing w:line="560" w:lineRule="exact"/>
        <w:ind w:right="1440" w:firstLine="2240" w:firstLineChars="7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杨  军    宣传委员</w:t>
      </w:r>
    </w:p>
    <w:p w14:paraId="06298DC9">
      <w:pPr>
        <w:spacing w:line="560" w:lineRule="exact"/>
        <w:ind w:right="24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职 责：计划、组织和安排具体相关项目评价工作。 </w:t>
      </w:r>
    </w:p>
    <w:p w14:paraId="7972B4EE">
      <w:pPr>
        <w:autoSpaceDE w:val="0"/>
        <w:spacing w:line="560" w:lineRule="exact"/>
        <w:ind w:right="640"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组 员：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财务人员及相关项目负责人及经办人</w:t>
      </w:r>
    </w:p>
    <w:p w14:paraId="62DE5BEC">
      <w:pPr>
        <w:spacing w:line="560" w:lineRule="exact"/>
        <w:ind w:firstLine="620" w:firstLineChars="200"/>
        <w:rPr>
          <w:rFonts w:ascii="仿宋" w:hAnsi="仿宋" w:eastAsia="仿宋"/>
          <w:sz w:val="31"/>
          <w:szCs w:val="31"/>
        </w:rPr>
      </w:pPr>
      <w:r>
        <w:rPr>
          <w:rFonts w:hint="eastAsia" w:ascii="仿宋" w:hAnsi="仿宋" w:eastAsia="仿宋"/>
          <w:sz w:val="31"/>
          <w:szCs w:val="31"/>
        </w:rPr>
        <w:t>职</w:t>
      </w:r>
      <w:r>
        <w:rPr>
          <w:rFonts w:hint="eastAsia" w:ascii="仿宋" w:hAnsi="仿宋" w:eastAsia="仿宋"/>
          <w:sz w:val="31"/>
          <w:szCs w:val="31"/>
          <w:lang w:val="en-US" w:eastAsia="zh-CN"/>
        </w:rPr>
        <w:t xml:space="preserve"> </w:t>
      </w:r>
      <w:r>
        <w:rPr>
          <w:rFonts w:hint="eastAsia" w:ascii="仿宋" w:hAnsi="仿宋" w:eastAsia="仿宋"/>
          <w:sz w:val="31"/>
          <w:szCs w:val="31"/>
        </w:rPr>
        <w:t>责：在组长和副组长的领导下积极开展项目评价工作，明确各自工作范围，积极推进项目评价工作顺利进行。</w:t>
      </w:r>
    </w:p>
    <w:p w14:paraId="40578230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项目评价工作小组的职责： 负责组织协调单位项目评价日常工作。 研究提出项目评价体系建设方案或规划。 组织协调相关部门或岗位落实项目的整改计划和措施。 组织协调单位内部项目相关的其他有关工作。</w:t>
      </w:r>
    </w:p>
    <w:p w14:paraId="0B914F69">
      <w:pPr>
        <w:spacing w:line="360" w:lineRule="auto"/>
        <w:ind w:firstLine="6400" w:firstLineChars="2000"/>
        <w:jc w:val="left"/>
        <w:rPr>
          <w:rFonts w:hint="eastAsia" w:ascii="仿宋" w:hAnsi="仿宋" w:eastAsia="仿宋"/>
          <w:sz w:val="32"/>
          <w:szCs w:val="32"/>
        </w:rPr>
      </w:pPr>
    </w:p>
    <w:p w14:paraId="29B9BB79">
      <w:pPr>
        <w:spacing w:line="360" w:lineRule="auto"/>
        <w:ind w:firstLine="6400" w:firstLineChars="2000"/>
        <w:jc w:val="left"/>
        <w:rPr>
          <w:rFonts w:hint="eastAsia" w:ascii="仿宋" w:hAnsi="仿宋" w:eastAsia="仿宋"/>
          <w:sz w:val="32"/>
          <w:szCs w:val="32"/>
        </w:rPr>
      </w:pPr>
    </w:p>
    <w:p w14:paraId="24416DC9">
      <w:pPr>
        <w:spacing w:line="360" w:lineRule="auto"/>
        <w:ind w:firstLine="6400" w:firstLineChars="2000"/>
        <w:jc w:val="left"/>
        <w:rPr>
          <w:rFonts w:hint="eastAsia" w:ascii="仿宋" w:hAnsi="仿宋" w:eastAsia="仿宋"/>
          <w:sz w:val="32"/>
          <w:szCs w:val="32"/>
        </w:rPr>
      </w:pPr>
    </w:p>
    <w:p w14:paraId="5A562311">
      <w:pPr>
        <w:spacing w:line="360" w:lineRule="auto"/>
        <w:ind w:firstLine="6400" w:firstLineChars="2000"/>
        <w:jc w:val="left"/>
        <w:rPr>
          <w:rFonts w:hint="eastAsia" w:ascii="仿宋" w:hAnsi="仿宋" w:eastAsia="仿宋"/>
          <w:sz w:val="32"/>
          <w:szCs w:val="32"/>
        </w:rPr>
      </w:pPr>
    </w:p>
    <w:p w14:paraId="4C32ED32">
      <w:pPr>
        <w:spacing w:line="360" w:lineRule="auto"/>
        <w:ind w:firstLine="6400" w:firstLineChars="20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2026年5月8日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81FB">
    <w:pPr>
      <w:pStyle w:val="5"/>
    </w:pPr>
    <w:r>
      <w:pict>
        <v:shape id="Quad Arrow 3073" o:spid="_x0000_s4097" o:spt="202" type="#_x0000_t202" style="position:absolute;left:0pt;margin-top:0pt;height:12.8pt;width:16.5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8025DC2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1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Y1YjllNjc3MzI1NTk4ZWRlZGFjYjhiODkyMTZjYzMifQ=="/>
  </w:docVars>
  <w:rsids>
    <w:rsidRoot w:val="0EBD2122"/>
    <w:rsid w:val="00002A44"/>
    <w:rsid w:val="00054BC4"/>
    <w:rsid w:val="000835B2"/>
    <w:rsid w:val="00092756"/>
    <w:rsid w:val="000A45D9"/>
    <w:rsid w:val="00214702"/>
    <w:rsid w:val="00224BAB"/>
    <w:rsid w:val="00237A6E"/>
    <w:rsid w:val="002943F5"/>
    <w:rsid w:val="003D05EC"/>
    <w:rsid w:val="003F3B97"/>
    <w:rsid w:val="004243C6"/>
    <w:rsid w:val="004340DB"/>
    <w:rsid w:val="004465A8"/>
    <w:rsid w:val="004539AD"/>
    <w:rsid w:val="00472502"/>
    <w:rsid w:val="004B2396"/>
    <w:rsid w:val="004C1ECC"/>
    <w:rsid w:val="004F6253"/>
    <w:rsid w:val="00504AF5"/>
    <w:rsid w:val="0050669B"/>
    <w:rsid w:val="005577E5"/>
    <w:rsid w:val="00562029"/>
    <w:rsid w:val="005A1315"/>
    <w:rsid w:val="005B00B3"/>
    <w:rsid w:val="00667D71"/>
    <w:rsid w:val="007120C4"/>
    <w:rsid w:val="00763ABC"/>
    <w:rsid w:val="00776657"/>
    <w:rsid w:val="00791C54"/>
    <w:rsid w:val="007E6C1F"/>
    <w:rsid w:val="007F4D32"/>
    <w:rsid w:val="00851259"/>
    <w:rsid w:val="008F25E3"/>
    <w:rsid w:val="00990E8B"/>
    <w:rsid w:val="009E5BDE"/>
    <w:rsid w:val="009F1473"/>
    <w:rsid w:val="00A2199C"/>
    <w:rsid w:val="00A93D60"/>
    <w:rsid w:val="00AA61F2"/>
    <w:rsid w:val="00AB561D"/>
    <w:rsid w:val="00AF566A"/>
    <w:rsid w:val="00AF7514"/>
    <w:rsid w:val="00B14D3A"/>
    <w:rsid w:val="00B52E1C"/>
    <w:rsid w:val="00B6553A"/>
    <w:rsid w:val="00C7275E"/>
    <w:rsid w:val="00CA44E0"/>
    <w:rsid w:val="00CD07DC"/>
    <w:rsid w:val="00D066A5"/>
    <w:rsid w:val="00D34A3B"/>
    <w:rsid w:val="00D82685"/>
    <w:rsid w:val="00D9033D"/>
    <w:rsid w:val="00D90508"/>
    <w:rsid w:val="00DF5602"/>
    <w:rsid w:val="00E064F2"/>
    <w:rsid w:val="00E371FE"/>
    <w:rsid w:val="00EF625B"/>
    <w:rsid w:val="00F2220C"/>
    <w:rsid w:val="00F331EC"/>
    <w:rsid w:val="00F346B8"/>
    <w:rsid w:val="00FD424D"/>
    <w:rsid w:val="01B104CA"/>
    <w:rsid w:val="01B15BC3"/>
    <w:rsid w:val="02106AB0"/>
    <w:rsid w:val="02B43A28"/>
    <w:rsid w:val="046F331E"/>
    <w:rsid w:val="04BC223F"/>
    <w:rsid w:val="057E74F5"/>
    <w:rsid w:val="059601D4"/>
    <w:rsid w:val="05D67331"/>
    <w:rsid w:val="077B0190"/>
    <w:rsid w:val="07956271"/>
    <w:rsid w:val="0935611C"/>
    <w:rsid w:val="09721397"/>
    <w:rsid w:val="0978425B"/>
    <w:rsid w:val="0AF83348"/>
    <w:rsid w:val="0BB63BED"/>
    <w:rsid w:val="0C3E79DE"/>
    <w:rsid w:val="0CF24ECF"/>
    <w:rsid w:val="0CFB767D"/>
    <w:rsid w:val="0D1F511A"/>
    <w:rsid w:val="0E6D6359"/>
    <w:rsid w:val="0EB97A43"/>
    <w:rsid w:val="0EBD2122"/>
    <w:rsid w:val="0F214EAE"/>
    <w:rsid w:val="0F7200CA"/>
    <w:rsid w:val="11B71E6A"/>
    <w:rsid w:val="1468384A"/>
    <w:rsid w:val="15806971"/>
    <w:rsid w:val="16921052"/>
    <w:rsid w:val="170610F8"/>
    <w:rsid w:val="17FB49D5"/>
    <w:rsid w:val="18297794"/>
    <w:rsid w:val="184C5231"/>
    <w:rsid w:val="18D07C10"/>
    <w:rsid w:val="19BE5CBA"/>
    <w:rsid w:val="1AAF0063"/>
    <w:rsid w:val="1BE140DE"/>
    <w:rsid w:val="20C61512"/>
    <w:rsid w:val="210668C5"/>
    <w:rsid w:val="21CE7481"/>
    <w:rsid w:val="223F3D2E"/>
    <w:rsid w:val="22BC6AD8"/>
    <w:rsid w:val="22D84291"/>
    <w:rsid w:val="235D6A12"/>
    <w:rsid w:val="248C197D"/>
    <w:rsid w:val="252959AF"/>
    <w:rsid w:val="268F66E8"/>
    <w:rsid w:val="2714160F"/>
    <w:rsid w:val="277A6671"/>
    <w:rsid w:val="28EF5E90"/>
    <w:rsid w:val="292D35B7"/>
    <w:rsid w:val="29DD218D"/>
    <w:rsid w:val="2A5E151F"/>
    <w:rsid w:val="2A7A3E7F"/>
    <w:rsid w:val="2BCA04EF"/>
    <w:rsid w:val="2CED26E7"/>
    <w:rsid w:val="2CF70153"/>
    <w:rsid w:val="2E5E219B"/>
    <w:rsid w:val="2E7124C8"/>
    <w:rsid w:val="2FC71915"/>
    <w:rsid w:val="2FD23E16"/>
    <w:rsid w:val="30D836AE"/>
    <w:rsid w:val="31590856"/>
    <w:rsid w:val="324A2389"/>
    <w:rsid w:val="32613BCC"/>
    <w:rsid w:val="328F5FEE"/>
    <w:rsid w:val="32BC1B7C"/>
    <w:rsid w:val="33EB6CFF"/>
    <w:rsid w:val="34CC5DB9"/>
    <w:rsid w:val="34F36C80"/>
    <w:rsid w:val="352E7D40"/>
    <w:rsid w:val="357A11D7"/>
    <w:rsid w:val="35A12947"/>
    <w:rsid w:val="35B00755"/>
    <w:rsid w:val="37387040"/>
    <w:rsid w:val="37585548"/>
    <w:rsid w:val="37A83DDA"/>
    <w:rsid w:val="38B120E3"/>
    <w:rsid w:val="38C730DA"/>
    <w:rsid w:val="390263B5"/>
    <w:rsid w:val="39995F2A"/>
    <w:rsid w:val="3A922B1F"/>
    <w:rsid w:val="3ACD3B57"/>
    <w:rsid w:val="3B5B73B5"/>
    <w:rsid w:val="3B625C0A"/>
    <w:rsid w:val="3C101996"/>
    <w:rsid w:val="3CEE1963"/>
    <w:rsid w:val="3E573142"/>
    <w:rsid w:val="3E875FE4"/>
    <w:rsid w:val="40266D0E"/>
    <w:rsid w:val="4374370A"/>
    <w:rsid w:val="44391EA4"/>
    <w:rsid w:val="454F3AE7"/>
    <w:rsid w:val="45F75F2C"/>
    <w:rsid w:val="4746716B"/>
    <w:rsid w:val="49492F43"/>
    <w:rsid w:val="4B9F509C"/>
    <w:rsid w:val="4C2061DD"/>
    <w:rsid w:val="4C9C27FE"/>
    <w:rsid w:val="4CFD207A"/>
    <w:rsid w:val="4D4C4DB0"/>
    <w:rsid w:val="4ED60DD5"/>
    <w:rsid w:val="4F10078B"/>
    <w:rsid w:val="4FCD042A"/>
    <w:rsid w:val="512260B4"/>
    <w:rsid w:val="52BD6ACB"/>
    <w:rsid w:val="53762B86"/>
    <w:rsid w:val="54534C76"/>
    <w:rsid w:val="55537534"/>
    <w:rsid w:val="561A74F1"/>
    <w:rsid w:val="56982E14"/>
    <w:rsid w:val="58D00F8B"/>
    <w:rsid w:val="597244E8"/>
    <w:rsid w:val="5A36306F"/>
    <w:rsid w:val="5A9B2ED2"/>
    <w:rsid w:val="5B6452AE"/>
    <w:rsid w:val="5B791466"/>
    <w:rsid w:val="5B876AF2"/>
    <w:rsid w:val="5CF43966"/>
    <w:rsid w:val="5D066D29"/>
    <w:rsid w:val="5D1E0517"/>
    <w:rsid w:val="5EB71C30"/>
    <w:rsid w:val="5ECF745B"/>
    <w:rsid w:val="60636240"/>
    <w:rsid w:val="61C827FF"/>
    <w:rsid w:val="63882CAA"/>
    <w:rsid w:val="63D064BE"/>
    <w:rsid w:val="63F83144"/>
    <w:rsid w:val="64BB664B"/>
    <w:rsid w:val="66AF0CE5"/>
    <w:rsid w:val="6703077D"/>
    <w:rsid w:val="696279DD"/>
    <w:rsid w:val="69692B1A"/>
    <w:rsid w:val="6A445335"/>
    <w:rsid w:val="6A731776"/>
    <w:rsid w:val="6AC537CF"/>
    <w:rsid w:val="6AD466B8"/>
    <w:rsid w:val="6BA372CD"/>
    <w:rsid w:val="6C4933FE"/>
    <w:rsid w:val="6C895281"/>
    <w:rsid w:val="6CBC11B2"/>
    <w:rsid w:val="6E5B14A6"/>
    <w:rsid w:val="6E7C509D"/>
    <w:rsid w:val="6F2D283B"/>
    <w:rsid w:val="6F830038"/>
    <w:rsid w:val="70DB6A9F"/>
    <w:rsid w:val="70F16163"/>
    <w:rsid w:val="711B255E"/>
    <w:rsid w:val="718A04B2"/>
    <w:rsid w:val="71FE6830"/>
    <w:rsid w:val="730438B3"/>
    <w:rsid w:val="739B4217"/>
    <w:rsid w:val="741D2E7E"/>
    <w:rsid w:val="74714F78"/>
    <w:rsid w:val="756B509E"/>
    <w:rsid w:val="77204A34"/>
    <w:rsid w:val="784A620C"/>
    <w:rsid w:val="792C76C0"/>
    <w:rsid w:val="7A7255A6"/>
    <w:rsid w:val="7BB51E06"/>
    <w:rsid w:val="7C26489A"/>
    <w:rsid w:val="7C387F7C"/>
    <w:rsid w:val="7C885555"/>
    <w:rsid w:val="7CB43C54"/>
    <w:rsid w:val="7CD417CC"/>
    <w:rsid w:val="7D376633"/>
    <w:rsid w:val="7D7635FF"/>
    <w:rsid w:val="7DA95483"/>
    <w:rsid w:val="7E9C52E7"/>
    <w:rsid w:val="7EC22F25"/>
    <w:rsid w:val="7FE8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12B43-8930-477F-B34B-C7400FBB3E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3573</Words>
  <Characters>3763</Characters>
  <Lines>22</Lines>
  <Paragraphs>6</Paragraphs>
  <TotalTime>2</TotalTime>
  <ScaleCrop>false</ScaleCrop>
  <LinksUpToDate>false</LinksUpToDate>
  <CharactersWithSpaces>3915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2022-04-19T08:06:00Z</dcterms:created>
  <dc:creator>欣欣大人</dc:creator>
  <cp:lastModifiedBy>傲雪寒梅</cp:lastModifiedBy>
  <cp:lastPrinted>2024-05-14T02:28:00Z</cp:lastPrinted>
  <dcterms:modified xsi:type="dcterms:W3CDTF">2026-05-08T08:07:16Z</dcterms:modified>
  <dc:title>附件3：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254A24F4148D4133A7405E31D15A0FBE_12</vt:lpwstr>
  </property>
  <property fmtid="{D5CDD505-2E9C-101B-9397-08002B2CF9AE}" pid="4" name="KSOTemplateDocerSaveRecord">
    <vt:lpwstr>eyJoZGlkIjoiZWY1YjllNjc3MzI1NTk4ZWRlZGFjYjhiODkyMTZjYzMiLCJ1c2VySWQiOiI0NTg4ODI4NTgifQ==</vt:lpwstr>
  </property>
</Properties>
</file>