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FAC4D">
      <w:pPr>
        <w:adjustRightInd w:val="0"/>
        <w:snapToGrid w:val="0"/>
        <w:spacing w:line="56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 w14:paraId="46C94ECC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 w14:paraId="45666732"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石家庄市长安区数据和政务服务局</w:t>
      </w:r>
    </w:p>
    <w:p w14:paraId="78B7C65D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44"/>
          <w:szCs w:val="44"/>
        </w:rPr>
        <w:t>年度整体支出绩效自评报告</w:t>
      </w:r>
    </w:p>
    <w:p w14:paraId="2920E39E"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 w14:paraId="01F1C4B7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贯彻落实市委市政府《关于全面落实预算绩效管理的实施意见》（石发﹝2019﹞8号）文件精神，遵循“科学性、规范性、客观性和公正性”的原则，对</w:t>
      </w:r>
      <w:r>
        <w:rPr>
          <w:rFonts w:hint="eastAsia" w:ascii="仿宋" w:hAnsi="仿宋" w:eastAsia="仿宋"/>
          <w:sz w:val="32"/>
          <w:szCs w:val="32"/>
          <w:lang w:eastAsia="zh-CN"/>
        </w:rPr>
        <w:t>长安区数据和政务服务局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年整体支出情况实施了财政支出绩效自评价，形成本评价报告。</w:t>
      </w:r>
    </w:p>
    <w:p w14:paraId="4DB28A9D">
      <w:pPr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sz w:val="32"/>
          <w:szCs w:val="32"/>
        </w:rPr>
        <w:t xml:space="preserve">     一、部门</w:t>
      </w:r>
      <w:r>
        <w:rPr>
          <w:rFonts w:hint="eastAsia" w:ascii="黑体" w:hAnsi="黑体" w:eastAsia="黑体"/>
          <w:sz w:val="32"/>
          <w:szCs w:val="36"/>
        </w:rPr>
        <w:t>基本情况</w:t>
      </w:r>
    </w:p>
    <w:p w14:paraId="4DC5B705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（一）部门概况</w:t>
      </w:r>
    </w:p>
    <w:p w14:paraId="6E029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部门职能：</w:t>
      </w:r>
    </w:p>
    <w:p w14:paraId="6494B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(一)负责统筹推进数字长安、数字经济、数字社会、数字政府规划和建设。组织实施全区大数据战略。协调推动全区公共服务和社会治理信息化，协调促进智慧城市建设，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提出各部门统筹安排区级信息化项目及资金的使用建议。</w:t>
      </w:r>
    </w:p>
    <w:p w14:paraId="52D1B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（二）统筹协调全区数据资源整合共享与开发利用。协调推进全区数据规范管理，组织推动公共数据资源开发利用，推动信息资源跨行业跨部门互联互通。</w:t>
      </w:r>
    </w:p>
    <w:p w14:paraId="36BE3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（三）协调推动全区数字经济发展，促进数字产业化和产业数字化。推动跨领域跨行业数字化转型，促进数字经济和实体经济深度融合。</w:t>
      </w:r>
    </w:p>
    <w:p w14:paraId="5B75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  <w:t>统筹推进政府履职和政务运行数字化转型。统筹推进全区“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互联网+政务服务”工作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  <w:t>，推行政务服务事项网上办理，形成管理机构、实体大厅、网上平台“三位一体”的政务服务管理模式；推进全区电子证照管理和应用。</w:t>
      </w:r>
    </w:p>
    <w:p w14:paraId="57D0F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（五）组织协调推进全区</w:t>
      </w:r>
      <w:r>
        <w:rPr>
          <w:rFonts w:hint="eastAsia" w:ascii="仿宋_GB2312" w:eastAsia="仿宋_GB2312"/>
          <w:color w:val="auto"/>
          <w:sz w:val="32"/>
          <w:szCs w:val="32"/>
          <w:u w:val="none" w:color="auto"/>
          <w:lang w:val="en-US" w:eastAsia="zh-CN"/>
        </w:rPr>
        <w:t>政府职能转变工作，贯彻落实党中央、国务院和省委省政府、市委市政府、区委区政府关于推进政府职能转变重要领域、关键环节重点政策措施。</w:t>
      </w:r>
    </w:p>
    <w:p w14:paraId="53706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（六）协调推进全区行政审批制度改革工作，协调推进全区简政放权工作。统筹推动各级政务服务标准化、规范化、便利化，推进政务服务集成化高效办。统筹指导镇（街道）、社区政务服务体系建设。指导协调全区政务服务和公共服务管理工作。推动公共服务便利化。</w:t>
      </w:r>
    </w:p>
    <w:p w14:paraId="10743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（七）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  <w:t>建立健全全区政务服务、行政审批服务管理制度。对进驻政务服务大厅的部门进行统一管理，对进驻事项的办理情况、办理效能以及办事人员的服务质量等进行监督。</w:t>
      </w:r>
    </w:p>
    <w:p w14:paraId="19E90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yellow"/>
          <w:u w:val="none" w:color="auto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 w:color="auto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八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 w:color="auto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 w:color="auto"/>
          <w:lang w:eastAsia="zh-CN"/>
        </w:rPr>
        <w:t>引导和推动全区社会信用体系建设。拟订社会信用体系建设年度工作要点。负责组织实施守信联合激励和失信联合惩罚。开展失信问题专项治理。负责诚信宣传教育和诚信文化建设，培育和发展信用服务市场。</w:t>
      </w:r>
    </w:p>
    <w:p w14:paraId="7AF49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（九）负责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</w:rPr>
        <w:t>投资项目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商事登记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市场服务、文教体卫、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社会事务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  <w:t>、生态环境、安全生产、农林水畜、城市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管理、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  <w:lang w:eastAsia="zh-CN"/>
        </w:rPr>
        <w:t>住建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等方面行政审批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事项的办理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,并承担相应的法律责任。</w:t>
      </w:r>
      <w:bookmarkStart w:id="0" w:name="_GoBack"/>
      <w:bookmarkEnd w:id="0"/>
    </w:p>
    <w:p w14:paraId="3B601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</w:rPr>
      </w:pPr>
      <w:r>
        <w:rPr>
          <w:rFonts w:hint="eastAsia" w:ascii="仿宋_GB2312" w:eastAsia="仿宋_GB2312"/>
          <w:color w:val="auto"/>
          <w:sz w:val="32"/>
          <w:szCs w:val="32"/>
          <w:u w:val="none" w:color="auto"/>
          <w:lang w:val="en-US"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  <w:lang w:eastAsia="zh-CN"/>
        </w:rPr>
        <w:t>十</w:t>
      </w:r>
      <w:r>
        <w:rPr>
          <w:rFonts w:hint="eastAsia" w:ascii="仿宋_GB2312" w:eastAsia="仿宋_GB2312"/>
          <w:color w:val="auto"/>
          <w:sz w:val="32"/>
          <w:szCs w:val="32"/>
          <w:u w:val="none" w:color="auto"/>
          <w:lang w:val="en-US"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</w:rPr>
        <w:t>负责行政审批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  <w:lang w:val="en-US" w:eastAsia="zh-CN"/>
        </w:rPr>
        <w:t>信息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</w:rPr>
        <w:t>资料的保管、整理、统计、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  <w:lang w:eastAsia="zh-CN"/>
        </w:rPr>
        <w:t>编目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</w:rPr>
        <w:t>和定期检查工作。</w:t>
      </w:r>
    </w:p>
    <w:p w14:paraId="5328C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仿宋" w:hAnsi="仿宋" w:eastAsia="仿宋"/>
          <w:color w:val="auto"/>
          <w:sz w:val="32"/>
          <w:szCs w:val="32"/>
          <w:highlight w:val="none"/>
          <w:u w:val="none" w:color="auto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一</w:t>
      </w:r>
      <w:r>
        <w:rPr>
          <w:rFonts w:hint="eastAsia" w:ascii="仿宋" w:hAnsi="仿宋" w:eastAsia="仿宋"/>
          <w:color w:val="auto"/>
          <w:sz w:val="32"/>
          <w:szCs w:val="32"/>
          <w:u w:val="none" w:color="auto"/>
          <w:shd w:val="clear" w:color="auto" w:fill="FFFFFF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 w:color="auto"/>
          <w:shd w:val="clear" w:color="auto" w:fill="FFFFFF"/>
          <w:lang w:eastAsia="zh-CN"/>
        </w:rPr>
        <w:t>贯彻落实省数据和政务服务局、市行政审批局、市数据资源局对我区数据和政务服务、行政审批等工作的指导意见。</w:t>
      </w:r>
    </w:p>
    <w:p w14:paraId="36C5E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（十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 w:color="auto"/>
        </w:rPr>
        <w:t>承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办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区委、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区政府交办的其他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  <w:lang w:eastAsia="zh-CN"/>
        </w:rPr>
        <w:t>任务</w:t>
      </w:r>
      <w:r>
        <w:rPr>
          <w:rFonts w:hint="eastAsia" w:ascii="仿宋" w:hAnsi="仿宋" w:eastAsia="仿宋" w:cs="仿宋"/>
          <w:color w:val="auto"/>
          <w:sz w:val="32"/>
          <w:szCs w:val="32"/>
          <w:u w:val="none" w:color="auto"/>
        </w:rPr>
        <w:t>。</w:t>
      </w:r>
    </w:p>
    <w:p w14:paraId="077F2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（十三）与其他部门有关职责分工。</w:t>
      </w:r>
    </w:p>
    <w:p w14:paraId="0D65E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与区委网信办、区政府办、区发改局在互联网建设与管理职责方面的分工。</w:t>
      </w:r>
    </w:p>
    <w:p w14:paraId="3C742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区委网信办负责维护互联网意识形态安全，监督管理互联网信息内容和网络舆情信息，组织协调互联网宣传和舆论引导工作，推动网络阵地和网络文明建设工作。</w:t>
      </w:r>
    </w:p>
    <w:p w14:paraId="17858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区政府办负责政府门户网站建设、管理和日常维护，政务内外网络建设管理和安全保障。</w:t>
      </w:r>
    </w:p>
    <w:p w14:paraId="64DA5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sz w:val="32"/>
          <w:szCs w:val="32"/>
          <w:u w:val="none"/>
          <w:shd w:val="clear" w:color="auto" w:fill="FFFFFF"/>
          <w:lang w:val="en-US" w:eastAsia="zh-CN"/>
        </w:rPr>
        <w:t>区发改局负责推动中小企业数字化转型等工作。</w:t>
      </w:r>
    </w:p>
    <w:p w14:paraId="0FCE1C91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组织机构及人员</w:t>
      </w:r>
      <w:r>
        <w:rPr>
          <w:rFonts w:hint="eastAsia" w:ascii="仿宋" w:hAnsi="仿宋" w:eastAsia="仿宋"/>
          <w:sz w:val="32"/>
          <w:szCs w:val="32"/>
          <w:lang w:eastAsia="zh-CN"/>
        </w:rPr>
        <w:t>情况：</w:t>
      </w:r>
    </w:p>
    <w:p w14:paraId="3988D85C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长安区数据和政务服务局</w:t>
      </w:r>
      <w:r>
        <w:rPr>
          <w:rFonts w:hint="eastAsia" w:ascii="仿宋" w:hAnsi="仿宋" w:eastAsia="仿宋" w:cs="仿宋"/>
          <w:sz w:val="32"/>
          <w:szCs w:val="32"/>
        </w:rPr>
        <w:t>行政编制机构1个：石家庄市长安区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数据和政务服务局</w:t>
      </w:r>
      <w:r>
        <w:rPr>
          <w:rFonts w:hint="eastAsia" w:ascii="仿宋" w:hAnsi="仿宋" w:eastAsia="仿宋" w:cs="仿宋"/>
          <w:sz w:val="32"/>
          <w:szCs w:val="32"/>
        </w:rPr>
        <w:t>。内设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办公室、数据资源股、发展和规划股、政策法规科、改革协调股、社会信用体系建设管理股、审批一至四股等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业务股室</w:t>
      </w:r>
      <w:r>
        <w:rPr>
          <w:rFonts w:hint="eastAsia" w:ascii="仿宋" w:hAnsi="仿宋" w:eastAsia="仿宋" w:cs="仿宋"/>
          <w:sz w:val="32"/>
          <w:szCs w:val="32"/>
        </w:rPr>
        <w:t>。财务独立核算。事业编制机构1个：石家庄市长安区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数据和政务服务中心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长安区数据和政务服务局</w:t>
      </w:r>
      <w:r>
        <w:rPr>
          <w:rFonts w:hint="eastAsia" w:ascii="仿宋" w:hAnsi="仿宋" w:eastAsia="仿宋" w:cs="仿宋"/>
          <w:sz w:val="32"/>
          <w:szCs w:val="32"/>
        </w:rPr>
        <w:t>行政编制数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仿宋"/>
          <w:sz w:val="32"/>
          <w:szCs w:val="32"/>
        </w:rPr>
        <w:t>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股级职数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12个。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数据和政务服务中心事业</w:t>
      </w:r>
      <w:r>
        <w:rPr>
          <w:rFonts w:hint="eastAsia" w:ascii="仿宋" w:hAnsi="仿宋" w:eastAsia="仿宋" w:cs="仿宋"/>
          <w:sz w:val="32"/>
          <w:szCs w:val="32"/>
        </w:rPr>
        <w:t>编制数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仿宋"/>
          <w:sz w:val="32"/>
          <w:szCs w:val="32"/>
        </w:rPr>
        <w:t>人。合计编制数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66</w:t>
      </w:r>
      <w:r>
        <w:rPr>
          <w:rFonts w:hint="eastAsia" w:ascii="仿宋" w:hAnsi="仿宋" w:eastAsia="仿宋" w:cs="仿宋"/>
          <w:sz w:val="32"/>
          <w:szCs w:val="32"/>
        </w:rPr>
        <w:t>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2025年年末实有在职人数59人，其中行政编制30人，数据和政务服务中心事业编制29人。</w:t>
      </w:r>
    </w:p>
    <w:p w14:paraId="3169AD3D">
      <w:pPr>
        <w:shd w:val="solid" w:color="FFFFFF" w:fill="auto"/>
        <w:kinsoku/>
        <w:autoSpaceDE/>
        <w:autoSpaceDN w:val="0"/>
        <w:spacing w:line="315" w:lineRule="atLeast"/>
        <w:ind w:firstLine="585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资产情况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长安区数据和政务服务局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eastAsia="zh-CN"/>
        </w:rPr>
        <w:t>20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eastAsia="zh-CN"/>
        </w:rPr>
        <w:t>年资产期末数为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443.14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eastAsia="zh-CN"/>
        </w:rPr>
        <w:t>万元。其中自有银行存款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12.94万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eastAsia="zh-CN"/>
        </w:rPr>
        <w:t>元，固定资产原值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381.83万元，无形资产原值48.37万元</w:t>
      </w:r>
      <w:r>
        <w:rPr>
          <w:rFonts w:hint="eastAsia" w:ascii="仿宋" w:hAnsi="仿宋" w:eastAsia="仿宋" w:cs="仿宋"/>
          <w:b w:val="0"/>
          <w:i w:val="0"/>
          <w:snapToGrid/>
          <w:color w:val="00000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7A583000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（二）部门收支预决算情况</w:t>
      </w:r>
      <w:r>
        <w:rPr>
          <w:rFonts w:hint="eastAsia" w:ascii="楷体" w:hAnsi="楷体" w:eastAsia="楷体" w:cs="楷体_GB2312"/>
          <w:bCs/>
          <w:sz w:val="32"/>
          <w:szCs w:val="32"/>
          <w:lang w:eastAsia="zh-CN"/>
        </w:rPr>
        <w:t>：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年度预算收入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1415.58</w:t>
      </w:r>
      <w:r>
        <w:rPr>
          <w:rFonts w:hint="eastAsia" w:ascii="仿宋" w:hAnsi="仿宋" w:eastAsia="仿宋"/>
          <w:sz w:val="32"/>
          <w:szCs w:val="32"/>
        </w:rPr>
        <w:t>万元，决算收入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1725.32</w:t>
      </w:r>
      <w:r>
        <w:rPr>
          <w:rFonts w:hint="eastAsia" w:ascii="仿宋" w:hAnsi="仿宋" w:eastAsia="仿宋"/>
          <w:sz w:val="32"/>
          <w:szCs w:val="32"/>
        </w:rPr>
        <w:t>万元；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年度预算支出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1415.58</w:t>
      </w:r>
      <w:r>
        <w:rPr>
          <w:rFonts w:hint="eastAsia" w:ascii="仿宋" w:hAnsi="仿宋" w:eastAsia="仿宋"/>
          <w:sz w:val="32"/>
          <w:szCs w:val="32"/>
        </w:rPr>
        <w:t>万元，决算支出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1725.32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 w14:paraId="39080CD0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_GB2312"/>
          <w:bCs/>
          <w:sz w:val="32"/>
          <w:szCs w:val="32"/>
          <w:highlight w:val="none"/>
        </w:rPr>
        <w:t>（三）部门整体支出绩效目标、指标</w:t>
      </w:r>
    </w:p>
    <w:p w14:paraId="26526590">
      <w:pPr>
        <w:adjustRightInd w:val="0"/>
        <w:snapToGrid w:val="0"/>
        <w:spacing w:line="560" w:lineRule="exact"/>
        <w:ind w:firstLine="643" w:firstLineChars="20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lang w:eastAsia="zh-CN"/>
        </w:rPr>
        <w:t>整体支出绩效目标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2025年，数政局在保障政务服务大厅正常运转的基础上，持续在提高政务服务、推动我区数字经济发展、深化信用体系建设工作等重点处着力，着力打造惠民便企的基层政务环境，提升数字要素应用能力，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为加快建设经济强区、美丽长安贡献数政局力量。</w:t>
      </w:r>
    </w:p>
    <w:p w14:paraId="14DD241B">
      <w:pPr>
        <w:adjustRightInd w:val="0"/>
        <w:snapToGrid w:val="0"/>
        <w:spacing w:line="560" w:lineRule="exact"/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</w:pPr>
      <w:r>
        <w:rPr>
          <w:rFonts w:ascii="仿宋" w:hAnsi="仿宋" w:eastAsia="仿宋"/>
          <w:b/>
          <w:bCs/>
          <w:color w:val="auto"/>
          <w:sz w:val="32"/>
          <w:szCs w:val="32"/>
        </w:rPr>
        <w:t>分项绩效目标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：</w:t>
      </w:r>
    </w:p>
    <w:p w14:paraId="6B81BEB0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保障政务服务工作正常运转。</w:t>
      </w:r>
    </w:p>
    <w:p w14:paraId="765A046A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绩效目标：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保障政务服务工作正常运转。</w:t>
      </w:r>
    </w:p>
    <w:p w14:paraId="1987E8D3">
      <w:pPr>
        <w:spacing w:line="580" w:lineRule="exact"/>
        <w:ind w:firstLine="630"/>
        <w:rPr>
          <w:rFonts w:hint="eastAsia" w:ascii="仿宋_GB2312" w:hAnsi="仿宋_GB2312" w:eastAsia="仿宋_GB2312" w:cs="仿宋_GB2312"/>
          <w:color w:val="auto"/>
          <w:sz w:val="32"/>
          <w:szCs w:val="24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绩效指标：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基本能够按时间进度支付水电费、食堂保安保洁人员工资等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，确保政务服务工作100%正常运转。</w:t>
      </w:r>
    </w:p>
    <w:p w14:paraId="1F2AEF9F">
      <w:pPr>
        <w:numPr>
          <w:ilvl w:val="0"/>
          <w:numId w:val="1"/>
        </w:numPr>
        <w:adjustRightInd w:val="0"/>
        <w:snapToGrid w:val="0"/>
        <w:spacing w:line="560" w:lineRule="exact"/>
        <w:ind w:leftChars="304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推进数据建设工作。</w:t>
      </w:r>
    </w:p>
    <w:p w14:paraId="7ADD603F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绩效目标：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推进数据建设工作</w:t>
      </w:r>
      <w:r>
        <w:rPr>
          <w:rFonts w:hint="eastAsia" w:ascii="仿宋_GB2312" w:hAnsi="仿宋_GB2312" w:eastAsia="仿宋_GB2312" w:cs="仿宋_GB2312"/>
          <w:color w:val="auto"/>
          <w:sz w:val="32"/>
          <w:szCs w:val="24"/>
          <w:lang w:val="en-US" w:eastAsia="zh-CN"/>
        </w:rPr>
        <w:t>。</w:t>
      </w:r>
    </w:p>
    <w:p w14:paraId="35DAAF89">
      <w:pPr>
        <w:spacing w:line="580" w:lineRule="exact"/>
        <w:ind w:firstLine="63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rtl w:val="0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绩效指标：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开展全区数据资源调查工作，组织全区企业进行数据填报录入工作。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加强电子证照归集力度，将区本级产生的证照应归尽归。</w:t>
      </w:r>
    </w:p>
    <w:p w14:paraId="5DB3E5B0">
      <w:pPr>
        <w:numPr>
          <w:ilvl w:val="0"/>
          <w:numId w:val="1"/>
        </w:numPr>
        <w:adjustRightInd w:val="0"/>
        <w:snapToGrid w:val="0"/>
        <w:spacing w:line="560" w:lineRule="exact"/>
        <w:ind w:left="638" w:leftChars="304" w:firstLine="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持续提升政务服务。</w:t>
      </w:r>
    </w:p>
    <w:p w14:paraId="1CFF8F64">
      <w:pPr>
        <w:numPr>
          <w:ilvl w:val="0"/>
          <w:numId w:val="0"/>
        </w:numPr>
        <w:adjustRightInd w:val="0"/>
        <w:snapToGrid w:val="0"/>
        <w:spacing w:line="560" w:lineRule="exact"/>
        <w:ind w:leftChars="304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绩效目标：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持续提升政务服务。</w:t>
      </w:r>
    </w:p>
    <w:p w14:paraId="09034D0E">
      <w:pPr>
        <w:spacing w:line="580" w:lineRule="exact"/>
        <w:ind w:firstLine="63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绩效指标：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编制本级“高效办成一件事”办事指南、引导图。“高效办成一件事”重点事项全部上线河北政务服务网“高效办成一件事”服务专区和冀时办APP试运行。</w:t>
      </w:r>
    </w:p>
    <w:p w14:paraId="616D1D3F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4、开展信用体系建设。</w:t>
      </w:r>
    </w:p>
    <w:p w14:paraId="0B48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绩效目标：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依托石家庄信用信息共享平台，落实信用信息常态化报送制度。</w:t>
      </w:r>
    </w:p>
    <w:p w14:paraId="18866775">
      <w:pPr>
        <w:adjustRightInd w:val="0"/>
        <w:snapToGrid w:val="0"/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绩效指标：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做好信用信息归集工作，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/>
        </w:rPr>
        <w:t>做好政务失信专项治理工作，开展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auto"/>
          <w:kern w:val="0"/>
          <w:sz w:val="32"/>
          <w:szCs w:val="32"/>
          <w:lang w:val="en-US" w:eastAsia="zh-CN" w:bidi="ar"/>
        </w:rPr>
        <w:t>诚信宣传活动。</w:t>
      </w:r>
    </w:p>
    <w:p w14:paraId="3C44F7F7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二、自评工作开展情况</w:t>
      </w:r>
    </w:p>
    <w:p w14:paraId="5D071452">
      <w:pPr>
        <w:spacing w:line="560" w:lineRule="exact"/>
        <w:rPr>
          <w:rFonts w:ascii="楷体" w:hAnsi="楷体" w:eastAsia="楷体" w:cs="楷体_GB2312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楷体_GB2312"/>
          <w:bCs/>
          <w:sz w:val="32"/>
          <w:szCs w:val="32"/>
        </w:rPr>
        <w:t>（一）自评的组织工作</w:t>
      </w:r>
    </w:p>
    <w:p w14:paraId="364C4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一是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积极组织。</w:t>
      </w:r>
      <w:r>
        <w:rPr>
          <w:rFonts w:hint="eastAsia" w:ascii="仿宋" w:hAnsi="仿宋" w:eastAsia="仿宋" w:cs="仿宋"/>
          <w:sz w:val="32"/>
          <w:szCs w:val="32"/>
        </w:rPr>
        <w:t>为了做好此次绩效评价工作，我局制定了绩效评价工作方案，成立了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绩效评价工作组，由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苌铖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副局长任组长，成员包括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相关股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室负责人及财务人员。</w:t>
      </w:r>
    </w:p>
    <w:p w14:paraId="336E3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二是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认真实施</w:t>
      </w:r>
      <w:r>
        <w:rPr>
          <w:rFonts w:hint="eastAsia" w:ascii="仿宋" w:hAnsi="仿宋" w:eastAsia="仿宋" w:cs="仿宋"/>
          <w:sz w:val="32"/>
          <w:szCs w:val="32"/>
        </w:rPr>
        <w:t>。局绩效评价工作组分别组织评价人员对本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股</w:t>
      </w:r>
      <w:r>
        <w:rPr>
          <w:rFonts w:hint="eastAsia" w:ascii="仿宋" w:hAnsi="仿宋" w:eastAsia="仿宋" w:cs="仿宋"/>
          <w:sz w:val="32"/>
          <w:szCs w:val="32"/>
        </w:rPr>
        <w:t>室负责实施的项目开展了自评。</w:t>
      </w:r>
    </w:p>
    <w:p w14:paraId="30CC2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1.搜集相关的数据和资料，包括绩效目标、指标数据、该项资金使用情况等资料。</w:t>
      </w:r>
    </w:p>
    <w:p w14:paraId="5169D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2.对所取得的数据和资料进行核实、整理。</w:t>
      </w:r>
    </w:p>
    <w:p w14:paraId="32F16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3.根据基础数据计算出反映各项绩效指标完成情况的实际完成值。</w:t>
      </w:r>
    </w:p>
    <w:p w14:paraId="36C3B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4.按照项目设定的各项绩效指标完成情况确定相应的完成等级，分优、良、中、差四个等级。</w:t>
      </w:r>
    </w:p>
    <w:p w14:paraId="65F85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5.确定指标权重，并计算自评得分。</w:t>
      </w:r>
    </w:p>
    <w:p w14:paraId="7DA06526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说明评价资料收集、评价过程、评价工作管理组织等情况。</w:t>
      </w:r>
    </w:p>
    <w:p w14:paraId="5F04D2F9">
      <w:pPr>
        <w:numPr>
          <w:ilvl w:val="0"/>
          <w:numId w:val="2"/>
        </w:numPr>
        <w:spacing w:line="560" w:lineRule="exact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自评的方法和过程</w:t>
      </w:r>
    </w:p>
    <w:p w14:paraId="65AAD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</w:pPr>
      <w:r>
        <w:rPr>
          <w:rFonts w:hint="eastAsia" w:ascii="仿宋" w:hAnsi="仿宋" w:eastAsia="仿宋"/>
          <w:sz w:val="32"/>
          <w:szCs w:val="32"/>
        </w:rPr>
        <w:t>本次绩效自评采用资料整理法，通过对相关记账凭证等财务资料查阅、核实、汇总分析，评价项目资金使用的规范性、支出范围的相关性和合理性等指标。通过以上方法收集有关资料，进行研究分析，确定各项指标完成程度及得分，找出项目实施中存在的问题，分析原因，提出建议，形成绩效评价报告。</w:t>
      </w:r>
    </w:p>
    <w:p w14:paraId="397DDB30">
      <w:pPr>
        <w:spacing w:line="560" w:lineRule="exac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三、部门整体支出绩效目标实现情况及指标分析</w:t>
      </w:r>
    </w:p>
    <w:p w14:paraId="79BEDFD7">
      <w:pPr>
        <w:numPr>
          <w:ilvl w:val="0"/>
          <w:numId w:val="3"/>
        </w:numPr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总体绩效目标实现情况</w:t>
      </w:r>
    </w:p>
    <w:p w14:paraId="60A626A6">
      <w:pPr>
        <w:spacing w:line="560" w:lineRule="exact"/>
        <w:ind w:firstLine="640" w:firstLineChars="200"/>
        <w:rPr>
          <w:rFonts w:hint="eastAsia" w:ascii="仿宋" w:hAnsi="仿宋" w:eastAsia="仿宋" w:cs="楷体_GB2312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年度，我局整体绩效目标基本实现。</w:t>
      </w:r>
    </w:p>
    <w:p w14:paraId="18392C48">
      <w:pPr>
        <w:spacing w:line="560" w:lineRule="exact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楷体_GB2312"/>
          <w:bCs/>
          <w:sz w:val="32"/>
          <w:szCs w:val="32"/>
        </w:rPr>
        <w:t>（二）分项绩效目标实现情况及指标分析</w:t>
      </w:r>
    </w:p>
    <w:p w14:paraId="27661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964" w:firstLineChars="3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项目产出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BA20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（1）数量指标。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审批事项完成率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达到100%。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10分。</w:t>
      </w:r>
    </w:p>
    <w:p w14:paraId="2082D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/>
          <w:sz w:val="32"/>
          <w:szCs w:val="32"/>
        </w:rPr>
        <w:t>质量指标</w:t>
      </w:r>
      <w:r>
        <w:rPr>
          <w:rFonts w:hint="eastAsia" w:ascii="仿宋" w:hAnsi="仿宋" w:eastAsia="仿宋"/>
          <w:sz w:val="32"/>
          <w:szCs w:val="32"/>
          <w:lang w:eastAsia="zh-CN"/>
        </w:rPr>
        <w:t>。各项工作任务均按照工作要求完成。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10分。</w:t>
      </w:r>
    </w:p>
    <w:p w14:paraId="60985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/>
          <w:sz w:val="32"/>
          <w:szCs w:val="32"/>
        </w:rPr>
        <w:t>时效指标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各项工作任务按照时间进度实施，</w:t>
      </w:r>
      <w:r>
        <w:rPr>
          <w:rFonts w:hint="eastAsia" w:ascii="仿宋" w:hAnsi="仿宋" w:eastAsia="仿宋"/>
          <w:sz w:val="32"/>
          <w:szCs w:val="32"/>
          <w:lang w:eastAsia="zh-CN"/>
        </w:rPr>
        <w:t>因财政资金紧张，在</w:t>
      </w:r>
      <w:r>
        <w:rPr>
          <w:rFonts w:hint="eastAsia" w:ascii="仿宋" w:hAnsi="仿宋" w:eastAsia="仿宋"/>
          <w:sz w:val="32"/>
          <w:szCs w:val="32"/>
        </w:rPr>
        <w:t>资金拨付、支出</w:t>
      </w:r>
      <w:r>
        <w:rPr>
          <w:rFonts w:hint="eastAsia" w:ascii="仿宋" w:hAnsi="仿宋" w:eastAsia="仿宋"/>
          <w:sz w:val="32"/>
          <w:szCs w:val="32"/>
          <w:lang w:eastAsia="zh-CN"/>
        </w:rPr>
        <w:t>方面还存在不够</w:t>
      </w:r>
      <w:r>
        <w:rPr>
          <w:rFonts w:hint="eastAsia" w:ascii="仿宋" w:hAnsi="仿宋" w:eastAsia="仿宋"/>
          <w:sz w:val="32"/>
          <w:szCs w:val="32"/>
        </w:rPr>
        <w:t>及时</w:t>
      </w:r>
      <w:r>
        <w:rPr>
          <w:rFonts w:hint="eastAsia" w:ascii="仿宋" w:hAnsi="仿宋" w:eastAsia="仿宋"/>
          <w:sz w:val="32"/>
          <w:szCs w:val="32"/>
          <w:lang w:eastAsia="zh-CN"/>
        </w:rPr>
        <w:t>的现象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但是基本</w:t>
      </w:r>
      <w:r>
        <w:rPr>
          <w:rFonts w:hint="eastAsia" w:ascii="仿宋" w:hAnsi="仿宋" w:eastAsia="仿宋"/>
          <w:sz w:val="32"/>
          <w:szCs w:val="32"/>
        </w:rPr>
        <w:t>满足工作需要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9分。</w:t>
      </w:r>
    </w:p>
    <w:p w14:paraId="63B4D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（4）成本指标。所有专项项目已按照年初预算支付资金，未超预算支出。10分。</w:t>
      </w:r>
    </w:p>
    <w:p w14:paraId="3B506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" w:hAnsi="仿宋" w:eastAsia="仿宋" w:cs="楷体_GB2312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项目效</w:t>
      </w:r>
      <w:r>
        <w:rPr>
          <w:rFonts w:hint="eastAsia" w:ascii="仿宋" w:hAnsi="仿宋" w:eastAsia="仿宋" w:cs="楷体_GB2312"/>
          <w:b/>
          <w:bCs/>
          <w:sz w:val="32"/>
          <w:szCs w:val="32"/>
          <w:lang w:eastAsia="zh-CN"/>
        </w:rPr>
        <w:t>果</w:t>
      </w:r>
    </w:p>
    <w:p w14:paraId="25AE8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从社会效益指标来看，各项工作有序完成，审批效率有所提高，</w:t>
      </w:r>
      <w:r>
        <w:rPr>
          <w:rFonts w:hint="eastAsia" w:ascii="仿宋" w:hAnsi="仿宋" w:eastAsia="仿宋"/>
          <w:sz w:val="32"/>
          <w:szCs w:val="32"/>
        </w:rPr>
        <w:t>有效提升了政府部门形象，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25分；从</w:t>
      </w:r>
      <w:r>
        <w:rPr>
          <w:rFonts w:hint="eastAsia" w:ascii="仿宋" w:hAnsi="仿宋" w:eastAsia="仿宋"/>
          <w:sz w:val="32"/>
          <w:szCs w:val="32"/>
          <w:lang w:eastAsia="zh-CN"/>
        </w:rPr>
        <w:t>可持续影响指标来看，项目资金投入对项目产生了良好的持续性影响，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25分。</w:t>
      </w:r>
    </w:p>
    <w:p w14:paraId="28BB095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" w:hAnsi="仿宋" w:eastAsia="仿宋" w:cs="楷体"/>
          <w:b/>
          <w:bCs/>
          <w:sz w:val="32"/>
          <w:szCs w:val="32"/>
        </w:rPr>
      </w:pPr>
      <w:r>
        <w:rPr>
          <w:rFonts w:hint="eastAsia" w:ascii="仿宋" w:hAnsi="仿宋" w:eastAsia="仿宋" w:cs="楷体"/>
          <w:b/>
          <w:bCs/>
          <w:sz w:val="32"/>
          <w:szCs w:val="32"/>
        </w:rPr>
        <w:t>满意度</w:t>
      </w:r>
    </w:p>
    <w:p w14:paraId="66AC9C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从满意度指标来看</w:t>
      </w:r>
      <w:r>
        <w:rPr>
          <w:rFonts w:hint="eastAsia" w:ascii="仿宋" w:hAnsi="仿宋" w:eastAsia="仿宋"/>
          <w:sz w:val="32"/>
          <w:szCs w:val="32"/>
        </w:rPr>
        <w:t>，使用对象较为满意，得分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分。</w:t>
      </w:r>
    </w:p>
    <w:p w14:paraId="30F92CED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四、评价结论和评价等级</w:t>
      </w:r>
    </w:p>
    <w:p w14:paraId="5B6FF75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根据项目执行情况和项目绩效情况，我局总得分9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分，得出综合评价结论和项目综合绩效评价等级为优秀。</w:t>
      </w:r>
    </w:p>
    <w:p w14:paraId="4C482A3E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五、存在的问题及改进措施</w:t>
      </w:r>
    </w:p>
    <w:p w14:paraId="5F004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（一）存在的主要问题</w:t>
      </w:r>
      <w:r>
        <w:rPr>
          <w:rFonts w:hint="eastAsia" w:ascii="仿宋" w:hAnsi="仿宋" w:eastAsia="仿宋"/>
          <w:sz w:val="32"/>
          <w:szCs w:val="32"/>
        </w:rPr>
        <w:t>：一是绩效管理意识不够强，绩效管理体系建设不够完备。二是绩效评价结果与预算安排的挂钩机制不完善。</w:t>
      </w:r>
    </w:p>
    <w:p w14:paraId="4E675710">
      <w:pPr>
        <w:spacing w:line="560" w:lineRule="exact"/>
        <w:ind w:firstLine="640" w:firstLineChars="200"/>
      </w:pPr>
      <w:r>
        <w:rPr>
          <w:rFonts w:hint="eastAsia" w:ascii="楷体" w:hAnsi="楷体" w:eastAsia="楷体"/>
          <w:bCs/>
          <w:sz w:val="32"/>
          <w:szCs w:val="32"/>
        </w:rPr>
        <w:t>（二）针对问题提出具体的改进措施或建议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一是加强对相关绩效管理文件精神的学习，要求业务科室负责人和财务人员一起认真学习，深刻领会文件要求。二是编制下年预算前充分考虑上年专项资金的绩效评价结论，结合工作实际，使预算编制更加科学合理。</w:t>
      </w:r>
      <w:r>
        <w:rPr>
          <w:rFonts w:hint="eastAsia" w:ascii="仿宋" w:hAnsi="仿宋" w:eastAsia="仿宋"/>
          <w:sz w:val="32"/>
          <w:szCs w:val="32"/>
        </w:rPr>
        <w:t>今后我局将进一步细化专项资金的使用、管理制度，建立健全专项资金的审核制度、内控制度和资金使用台账制度，确保资金使用安全。</w:t>
      </w:r>
    </w:p>
    <w:p w14:paraId="2A8AFBC1">
      <w:pPr>
        <w:spacing w:line="56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</w:p>
    <w:p w14:paraId="663679EB">
      <w:pPr>
        <w:spacing w:line="560" w:lineRule="exact"/>
        <w:rPr>
          <w:rFonts w:ascii="仿宋" w:hAnsi="仿宋" w:eastAsia="仿宋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DBFC9">
    <w:pPr>
      <w:pStyle w:val="3"/>
    </w:pPr>
    <w:r>
      <w:pict>
        <v:shape id="Quad Arrow 3073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962542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07B307"/>
    <w:multiLevelType w:val="singleLevel"/>
    <w:tmpl w:val="0507B307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2">
    <w:nsid w:val="5810EC5C"/>
    <w:multiLevelType w:val="singleLevel"/>
    <w:tmpl w:val="5810EC5C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EBD2122"/>
    <w:rsid w:val="000B0260"/>
    <w:rsid w:val="007E6C1F"/>
    <w:rsid w:val="00956A93"/>
    <w:rsid w:val="009E575C"/>
    <w:rsid w:val="00AF167E"/>
    <w:rsid w:val="00AF566A"/>
    <w:rsid w:val="00B478EA"/>
    <w:rsid w:val="00B6553A"/>
    <w:rsid w:val="00BC6576"/>
    <w:rsid w:val="00CE06BA"/>
    <w:rsid w:val="00F441CC"/>
    <w:rsid w:val="01B104CA"/>
    <w:rsid w:val="02106AB0"/>
    <w:rsid w:val="02B43A28"/>
    <w:rsid w:val="046F331E"/>
    <w:rsid w:val="06976123"/>
    <w:rsid w:val="07956271"/>
    <w:rsid w:val="07F05835"/>
    <w:rsid w:val="087836B7"/>
    <w:rsid w:val="09721397"/>
    <w:rsid w:val="0BB63BED"/>
    <w:rsid w:val="0EB97A43"/>
    <w:rsid w:val="0EBD2122"/>
    <w:rsid w:val="0F214EAE"/>
    <w:rsid w:val="100667B2"/>
    <w:rsid w:val="10272AB5"/>
    <w:rsid w:val="11B71E6A"/>
    <w:rsid w:val="12AB0A3D"/>
    <w:rsid w:val="1AAF0063"/>
    <w:rsid w:val="1BE140DE"/>
    <w:rsid w:val="1C660C59"/>
    <w:rsid w:val="220A0D41"/>
    <w:rsid w:val="248C197D"/>
    <w:rsid w:val="252959AF"/>
    <w:rsid w:val="277A6671"/>
    <w:rsid w:val="292D35B7"/>
    <w:rsid w:val="2C424D5B"/>
    <w:rsid w:val="33EB6CFF"/>
    <w:rsid w:val="35A12947"/>
    <w:rsid w:val="37387040"/>
    <w:rsid w:val="3B625C0A"/>
    <w:rsid w:val="3CEE1963"/>
    <w:rsid w:val="4C305F92"/>
    <w:rsid w:val="4C9C27FE"/>
    <w:rsid w:val="512260B4"/>
    <w:rsid w:val="52BD6ACB"/>
    <w:rsid w:val="55537534"/>
    <w:rsid w:val="561A74F1"/>
    <w:rsid w:val="597244E8"/>
    <w:rsid w:val="59AA682C"/>
    <w:rsid w:val="5EB71C30"/>
    <w:rsid w:val="66AF0CE5"/>
    <w:rsid w:val="6AA60061"/>
    <w:rsid w:val="6AC537CF"/>
    <w:rsid w:val="6E5B14A6"/>
    <w:rsid w:val="711B255E"/>
    <w:rsid w:val="72276C94"/>
    <w:rsid w:val="7A4B0B3F"/>
    <w:rsid w:val="7BB51E06"/>
    <w:rsid w:val="7C387F7C"/>
    <w:rsid w:val="7FE83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customStyle="1" w:styleId="7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3116</Words>
  <Characters>3215</Characters>
  <Lines>4</Lines>
  <Paragraphs>1</Paragraphs>
  <TotalTime>3</TotalTime>
  <ScaleCrop>false</ScaleCrop>
  <LinksUpToDate>false</LinksUpToDate>
  <CharactersWithSpaces>3234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2020-02-04T03:46:00Z</dcterms:created>
  <dc:creator>欣欣大人</dc:creator>
  <cp:lastModifiedBy>刘阳</cp:lastModifiedBy>
  <cp:lastPrinted>2022-01-19T07:24:00Z</cp:lastPrinted>
  <dcterms:modified xsi:type="dcterms:W3CDTF">2026-05-22T03:35:04Z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4A19074DC8414FE6B62EBFA35238C9D8</vt:lpwstr>
  </property>
  <property fmtid="{D5CDD505-2E9C-101B-9397-08002B2CF9AE}" pid="4" name="KSOTemplateDocerSaveRecord">
    <vt:lpwstr>eyJoZGlkIjoiNGQwMTcxMTU2MDMzNmYyMzQ0ZWU0YWEwNDg4ZWM5NGMiLCJ1c2VySWQiOiIxNjg4OTIxODE2In0=</vt:lpwstr>
  </property>
</Properties>
</file>