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88FD54">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107A2F55">
      <w:pPr>
        <w:spacing w:line="560" w:lineRule="exact"/>
        <w:jc w:val="center"/>
        <w:rPr>
          <w:rFonts w:ascii="宋体" w:hAnsi="宋体" w:cs="宋体"/>
          <w:b/>
          <w:bCs/>
          <w:sz w:val="44"/>
          <w:szCs w:val="44"/>
        </w:rPr>
      </w:pPr>
    </w:p>
    <w:p w14:paraId="74E0FE31">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组织部</w:t>
      </w:r>
    </w:p>
    <w:p w14:paraId="5E210F88">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4747082">
      <w:pPr>
        <w:spacing w:line="560" w:lineRule="exact"/>
        <w:jc w:val="center"/>
        <w:rPr>
          <w:rFonts w:ascii="华文楷体" w:eastAsia="华文楷体"/>
          <w:sz w:val="32"/>
          <w:szCs w:val="32"/>
        </w:rPr>
      </w:pPr>
    </w:p>
    <w:p w14:paraId="3A0D17F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区</w:t>
      </w:r>
      <w:r>
        <w:rPr>
          <w:rFonts w:hint="eastAsia" w:ascii="仿宋" w:hAnsi="仿宋" w:eastAsia="仿宋"/>
          <w:sz w:val="32"/>
          <w:szCs w:val="32"/>
        </w:rPr>
        <w:t>委</w:t>
      </w:r>
      <w:r>
        <w:rPr>
          <w:rFonts w:hint="eastAsia" w:ascii="仿宋" w:hAnsi="仿宋" w:eastAsia="仿宋"/>
          <w:sz w:val="32"/>
          <w:szCs w:val="32"/>
          <w:lang w:eastAsia="zh-CN"/>
        </w:rPr>
        <w:t>区</w:t>
      </w:r>
      <w:r>
        <w:rPr>
          <w:rFonts w:hint="eastAsia" w:ascii="仿宋" w:hAnsi="仿宋" w:eastAsia="仿宋"/>
          <w:sz w:val="32"/>
          <w:szCs w:val="32"/>
        </w:rPr>
        <w:t>政府《关于全面落实预算绩效管理的实施意见》（</w:t>
      </w:r>
      <w:r>
        <w:rPr>
          <w:rFonts w:hint="eastAsia" w:ascii="仿宋" w:hAnsi="仿宋" w:eastAsia="仿宋"/>
          <w:sz w:val="32"/>
          <w:szCs w:val="32"/>
          <w:lang w:eastAsia="zh-CN"/>
        </w:rPr>
        <w:t>长</w:t>
      </w:r>
      <w:r>
        <w:rPr>
          <w:rFonts w:hint="eastAsia" w:ascii="仿宋" w:hAnsi="仿宋" w:eastAsia="仿宋"/>
          <w:sz w:val="32"/>
          <w:szCs w:val="32"/>
        </w:rPr>
        <w:t>发﹝2019﹞8号）文件精神，遵循“科学性、规范性、客观性和公正性”的原则，对</w:t>
      </w:r>
      <w:r>
        <w:rPr>
          <w:rFonts w:hint="eastAsia" w:ascii="仿宋" w:hAnsi="仿宋" w:eastAsia="仿宋"/>
          <w:sz w:val="32"/>
          <w:szCs w:val="32"/>
          <w:lang w:eastAsia="zh-CN"/>
        </w:rPr>
        <w:t>本</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627AAAC6">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A81AA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3F6D02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1.部门职能</w:t>
      </w:r>
    </w:p>
    <w:p w14:paraId="5B626CD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w:t>
      </w:r>
    </w:p>
    <w:p w14:paraId="56565D6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负责党员队伍建设、组</w:t>
      </w:r>
      <w:r>
        <w:rPr>
          <w:rFonts w:hint="eastAsia" w:ascii="仿宋" w:hAnsi="仿宋" w:eastAsia="仿宋"/>
          <w:sz w:val="32"/>
          <w:szCs w:val="32"/>
          <w:lang w:eastAsia="zh-CN"/>
        </w:rPr>
        <w:t>织和党</w:t>
      </w:r>
      <w:r>
        <w:rPr>
          <w:rFonts w:hint="eastAsia" w:ascii="仿宋" w:hAnsi="仿宋" w:eastAsia="仿宋"/>
          <w:sz w:val="32"/>
          <w:szCs w:val="32"/>
        </w:rPr>
        <w:t>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37D5AC6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各级领导班子和干部队伍建设的宏观管理。研究提出领导班子和领导干部队伍建设规划以及干部管理体制的建议，指导领导班子思想作风建设；负责提出镇（街道）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全区干部档 案工作的宏观指导和区管干部档案管理；负责省派选调生的培养、使用和管理；承办有关干部的调配、交流安置事宜。</w:t>
      </w:r>
    </w:p>
    <w:p w14:paraId="61FD610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镇（街道）目标绩效管理，组织实施全区机关、镇（街道）职能绩效目标考核；承担区委干部考核委员会日常工作。</w:t>
      </w:r>
    </w:p>
    <w:p w14:paraId="1526B0F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负责公务员、参照公务员法管理事业单位工作人员录用调配、考核奖惩、培训和工资福利等工作；研究拟订公务员管理办法并组织实施；指导全区公务员、参照公务员法管理事业单位工作人员队伍建设。</w:t>
      </w:r>
    </w:p>
    <w:p w14:paraId="0BE4394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负责全区人才工作和人才队伍建设的牵头抓总、统筹协调、推进落实；负责做好省管优秀专家等重点人才推荐申报、联系服务工作；负责区管拔尖人才的选拔管理；承担区委人才工作领导小组办公室日常工作。</w:t>
      </w:r>
    </w:p>
    <w:p w14:paraId="57D5E2C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负责组织系统新闻宣传、信息化建设和组织史征编工作。</w:t>
      </w:r>
    </w:p>
    <w:p w14:paraId="13EC7F5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负责全区组织工作的检查督促，及时向区委反映重要情况并提出建议。</w:t>
      </w:r>
    </w:p>
    <w:p w14:paraId="654CADE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统一管理区委机构编制委员会办公室，归口管理区委老干部局。</w:t>
      </w:r>
    </w:p>
    <w:p w14:paraId="1665314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完成区委交办的其他任务。</w:t>
      </w:r>
    </w:p>
    <w:p w14:paraId="2E93A05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组织机构</w:t>
      </w:r>
    </w:p>
    <w:tbl>
      <w:tblPr>
        <w:tblStyle w:val="4"/>
        <w:tblW w:w="88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61"/>
        <w:gridCol w:w="2688"/>
        <w:gridCol w:w="2222"/>
      </w:tblGrid>
      <w:tr w14:paraId="2441F3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961" w:type="dxa"/>
          </w:tcPr>
          <w:p w14:paraId="5B5B508B">
            <w:pPr>
              <w:jc w:val="center"/>
              <w:rPr>
                <w:rFonts w:hint="eastAsia" w:ascii="仿宋_GB2312" w:eastAsia="仿宋_GB2312"/>
                <w:sz w:val="28"/>
                <w:szCs w:val="32"/>
              </w:rPr>
            </w:pPr>
            <w:r>
              <w:rPr>
                <w:rFonts w:hint="eastAsia" w:ascii="仿宋_GB2312" w:eastAsia="仿宋_GB2312"/>
                <w:sz w:val="28"/>
                <w:szCs w:val="32"/>
              </w:rPr>
              <w:t>单位名称</w:t>
            </w:r>
          </w:p>
        </w:tc>
        <w:tc>
          <w:tcPr>
            <w:tcW w:w="2688" w:type="dxa"/>
          </w:tcPr>
          <w:p w14:paraId="21FFB116">
            <w:pPr>
              <w:jc w:val="center"/>
              <w:rPr>
                <w:rFonts w:hint="eastAsia" w:ascii="仿宋_GB2312" w:eastAsia="仿宋_GB2312"/>
                <w:sz w:val="28"/>
                <w:szCs w:val="32"/>
              </w:rPr>
            </w:pPr>
            <w:r>
              <w:rPr>
                <w:rFonts w:hint="eastAsia" w:ascii="仿宋_GB2312" w:eastAsia="仿宋_GB2312"/>
                <w:sz w:val="28"/>
                <w:szCs w:val="32"/>
              </w:rPr>
              <w:t>单位基本性质</w:t>
            </w:r>
          </w:p>
        </w:tc>
        <w:tc>
          <w:tcPr>
            <w:tcW w:w="2222" w:type="dxa"/>
          </w:tcPr>
          <w:p w14:paraId="6FCD2C14">
            <w:pPr>
              <w:jc w:val="center"/>
              <w:rPr>
                <w:rFonts w:hint="eastAsia" w:ascii="仿宋_GB2312" w:eastAsia="仿宋_GB2312"/>
                <w:sz w:val="28"/>
                <w:szCs w:val="32"/>
              </w:rPr>
            </w:pPr>
            <w:r>
              <w:rPr>
                <w:rFonts w:hint="eastAsia" w:ascii="仿宋_GB2312" w:eastAsia="仿宋_GB2312"/>
                <w:sz w:val="28"/>
                <w:szCs w:val="32"/>
              </w:rPr>
              <w:t>经费形式</w:t>
            </w:r>
          </w:p>
        </w:tc>
      </w:tr>
      <w:tr w14:paraId="15AF6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961" w:type="dxa"/>
          </w:tcPr>
          <w:p w14:paraId="05146822">
            <w:pPr>
              <w:jc w:val="center"/>
              <w:rPr>
                <w:rFonts w:hint="eastAsia" w:ascii="仿宋_GB2312" w:eastAsia="仿宋_GB2312"/>
                <w:sz w:val="28"/>
                <w:szCs w:val="32"/>
              </w:rPr>
            </w:pPr>
            <w:r>
              <w:rPr>
                <w:rFonts w:hint="eastAsia" w:ascii="仿宋_GB2312" w:eastAsia="仿宋_GB2312"/>
                <w:sz w:val="28"/>
                <w:szCs w:val="32"/>
              </w:rPr>
              <w:t>长安区委组织部（本级）</w:t>
            </w:r>
          </w:p>
        </w:tc>
        <w:tc>
          <w:tcPr>
            <w:tcW w:w="2688" w:type="dxa"/>
          </w:tcPr>
          <w:p w14:paraId="66B08B28">
            <w:pPr>
              <w:jc w:val="center"/>
              <w:rPr>
                <w:rFonts w:hint="eastAsia" w:ascii="仿宋_GB2312" w:eastAsia="仿宋_GB2312"/>
                <w:sz w:val="28"/>
                <w:szCs w:val="32"/>
              </w:rPr>
            </w:pPr>
            <w:r>
              <w:rPr>
                <w:rFonts w:hint="eastAsia" w:ascii="仿宋_GB2312" w:eastAsia="仿宋_GB2312"/>
                <w:sz w:val="28"/>
                <w:szCs w:val="32"/>
              </w:rPr>
              <w:t>行政单位</w:t>
            </w:r>
          </w:p>
        </w:tc>
        <w:tc>
          <w:tcPr>
            <w:tcW w:w="2222" w:type="dxa"/>
          </w:tcPr>
          <w:p w14:paraId="1655F667">
            <w:pPr>
              <w:jc w:val="center"/>
              <w:rPr>
                <w:rFonts w:hint="eastAsia" w:ascii="仿宋_GB2312" w:eastAsia="仿宋_GB2312"/>
                <w:sz w:val="28"/>
                <w:szCs w:val="32"/>
              </w:rPr>
            </w:pPr>
            <w:r>
              <w:rPr>
                <w:rFonts w:hint="eastAsia" w:ascii="仿宋_GB2312" w:eastAsia="仿宋_GB2312"/>
                <w:sz w:val="28"/>
                <w:szCs w:val="32"/>
              </w:rPr>
              <w:t>财政拨款</w:t>
            </w:r>
          </w:p>
        </w:tc>
      </w:tr>
    </w:tbl>
    <w:p w14:paraId="53B5B0B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人员情况</w:t>
      </w:r>
    </w:p>
    <w:p w14:paraId="14B960B7">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我单位</w:t>
      </w:r>
      <w:r>
        <w:rPr>
          <w:rFonts w:hint="eastAsia" w:ascii="仿宋" w:hAnsi="仿宋" w:eastAsia="仿宋"/>
          <w:sz w:val="32"/>
          <w:szCs w:val="32"/>
          <w:lang w:val="en-US" w:eastAsia="zh-CN"/>
        </w:rPr>
        <w:t>2025年末</w:t>
      </w:r>
      <w:r>
        <w:rPr>
          <w:rFonts w:hint="eastAsia" w:ascii="仿宋" w:hAnsi="仿宋" w:eastAsia="仿宋"/>
          <w:sz w:val="32"/>
          <w:szCs w:val="32"/>
        </w:rPr>
        <w:t>行政在职</w:t>
      </w:r>
      <w:r>
        <w:rPr>
          <w:rFonts w:hint="eastAsia" w:ascii="仿宋" w:hAnsi="仿宋" w:eastAsia="仿宋"/>
          <w:sz w:val="32"/>
          <w:szCs w:val="32"/>
          <w:lang w:val="en-US" w:eastAsia="zh-CN"/>
        </w:rPr>
        <w:t>31</w:t>
      </w:r>
      <w:r>
        <w:rPr>
          <w:rFonts w:hint="eastAsia" w:ascii="仿宋" w:hAnsi="仿宋" w:eastAsia="仿宋"/>
          <w:sz w:val="32"/>
          <w:szCs w:val="32"/>
        </w:rPr>
        <w:t>人，事业在职</w:t>
      </w:r>
      <w:r>
        <w:rPr>
          <w:rFonts w:hint="eastAsia" w:ascii="仿宋" w:hAnsi="仿宋" w:eastAsia="仿宋"/>
          <w:sz w:val="32"/>
          <w:szCs w:val="32"/>
          <w:lang w:val="en-US" w:eastAsia="zh-CN"/>
        </w:rPr>
        <w:t>12</w:t>
      </w:r>
      <w:r>
        <w:rPr>
          <w:rFonts w:hint="eastAsia" w:ascii="仿宋" w:hAnsi="仿宋" w:eastAsia="仿宋"/>
          <w:sz w:val="32"/>
          <w:szCs w:val="32"/>
        </w:rPr>
        <w:t>人，工勤在职3人。</w:t>
      </w:r>
    </w:p>
    <w:p w14:paraId="685DCD05">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部门收支预决算情况</w:t>
      </w:r>
    </w:p>
    <w:p w14:paraId="042D6EFF">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2025年预算收入911.82万元，其中：一般公共预算收入879.57万元，基金预算收入0.00万元，国有资本经营预算收入0.00万元，财政专户核拨收入0.00万元，单位资金收入0.00万元，上年结转结余32.25万元。</w:t>
      </w:r>
    </w:p>
    <w:p w14:paraId="0DDCB4F2">
      <w:pPr>
        <w:pStyle w:val="6"/>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预算支出911.82万元，其中基本支出843.61万元，包括人员经费774.04万元和日常公用经费69.57万元；项目支出68.21万元，人员经费主要为基本工资、津贴补贴、奖金、社会保障缴费、退休费、奖励金、住房公积金、其他对个人和家庭的补助支出等；日常公用经费主要为办公费、印刷费、邮电费、差旅费、培训费、工会经费、福利费、公务 用车运行维护费、其他交通费用、其他商品和服务支出等;项目支出经费主要为下派选调生到村任职补助资金。</w:t>
      </w:r>
    </w:p>
    <w:p w14:paraId="14E194D5">
      <w:pPr>
        <w:numPr>
          <w:ilvl w:val="0"/>
          <w:numId w:val="0"/>
        </w:numPr>
        <w:adjustRightInd w:val="0"/>
        <w:snapToGrid w:val="0"/>
        <w:spacing w:line="560" w:lineRule="exact"/>
        <w:ind w:leftChars="200" w:firstLine="320" w:firstLineChars="100"/>
        <w:rPr>
          <w:rFonts w:hint="eastAsia" w:ascii="楷体" w:hAnsi="楷体" w:eastAsia="楷体" w:cs="楷体_GB2312"/>
          <w:bCs/>
          <w:sz w:val="32"/>
          <w:szCs w:val="32"/>
        </w:rPr>
      </w:pPr>
      <w:r>
        <w:rPr>
          <w:rFonts w:hint="eastAsia" w:ascii="楷体" w:hAnsi="楷体" w:eastAsia="楷体" w:cs="楷体_GB2312"/>
          <w:bCs/>
          <w:sz w:val="32"/>
          <w:szCs w:val="32"/>
          <w:lang w:eastAsia="zh-CN"/>
        </w:rPr>
        <w:t>（三）</w:t>
      </w:r>
      <w:r>
        <w:rPr>
          <w:rFonts w:hint="eastAsia" w:ascii="楷体" w:hAnsi="楷体" w:eastAsia="楷体" w:cs="楷体_GB2312"/>
          <w:bCs/>
          <w:sz w:val="32"/>
          <w:szCs w:val="32"/>
        </w:rPr>
        <w:t>部门整体支出绩效目标、指标</w:t>
      </w:r>
    </w:p>
    <w:p w14:paraId="79F2E6A2">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领导班子和干部队伍建设工作：根据全区领导班子和干部队伍情况研究出台相关干部意见规定，提高干部队伍的整体素质，为建设经济强区、美丽长安提供组织保证；做好干部离退休审批以及工作政策解释等工作。建设一支数量充足、素质优良、结构合理的后备干部、女干部、少数民族干部、党外干部队伍；建设一支来源广泛、数量充足、结构合理、素质优良的年轻干部队伍；认真落实上级组织人事部门调配办法；全面提高领导干部的理论素养、政策水平和履职能力。做好区管干部因私出国境审批工作和个人有关事项申报管理、抽查核实等相关工作；做好举报件的及时受理。完成干部档案数字化建设。提高全区干部考核工作科学化、规范化、制度化水平；加强领导班子和干部队伍平时考核，促进各项目标任务的落实。加强公务员队伍管理，完成年度公务员及党群系统事业人员招录计划，进一步提高公务员管理的信息化、科学化、规范化水平。</w:t>
      </w:r>
    </w:p>
    <w:p w14:paraId="65B9F06E">
      <w:pPr>
        <w:spacing w:line="56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才工作及人才队伍建设：按照市要求，推荐评选十百千人才、县域特色人才项目，加强与各类人才联系服务，开展多种形式的座谈、交流、培训等活动，选好用活各类人才，落实人才绿卡各项政策，积极探索各类人才发挥作用的新途径。继续开展“招才引智进百校”宣讲活动，实现引才数量、引才质量全面提升。</w:t>
      </w:r>
    </w:p>
    <w:p w14:paraId="79FA63AE">
      <w:pPr>
        <w:spacing w:line="56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层党组织建设和党员队伍管理：加强党组织建设和党员管理，不断提高执政能力和领导水平；严格落实各级相关规定；加强农村党组织阵地建设，推进便民服务室建设规范化、标准化；按时足额发放农村（村转社区）“两委”干部职务补贴、离任农村党组织书记、村委会主任补贴；做好农村(村转社区)“两委”干部体检工作；完成镇、街道党（工）委书记抓基层党建述职工作；定期组织调查、研究、督导农村基层组织运行、制度落实、场所建设等情况。社区服务阵地建设不断提高；片区党建资源得到优化，示范点建设水平整体提升；社区干部业务能力和素质水平得到提高；社区管理居民事务水平得到提高。完成各级安排的课件制作任务；做好拍摄及视频资料留存工作；保证电教站点必修节目的及时收看和远教平台正常收看；保证剪辑制作平台设备正常运转；提高站点管理员操作水平。</w:t>
      </w:r>
    </w:p>
    <w:p w14:paraId="2627345E">
      <w:pPr>
        <w:snapToGrid w:val="0"/>
        <w:spacing w:line="560" w:lineRule="exact"/>
        <w:ind w:firstLine="640" w:firstLineChars="200"/>
        <w:rPr>
          <w:rFonts w:hint="eastAsia" w:ascii="仿宋" w:hAnsi="仿宋" w:eastAsia="仿宋" w:cs="仿宋"/>
          <w:sz w:val="32"/>
          <w:szCs w:val="32"/>
        </w:rPr>
      </w:pPr>
      <w:r>
        <w:rPr>
          <w:rFonts w:hint="eastAsia" w:ascii="仿宋_GB2312" w:hAnsi="仿宋_GB2312" w:eastAsia="仿宋_GB2312" w:cs="仿宋_GB2312"/>
          <w:sz w:val="32"/>
          <w:szCs w:val="32"/>
        </w:rPr>
        <w:t>组织事务管理工作：做好部机关文秘</w:t>
      </w:r>
      <w:r>
        <w:rPr>
          <w:rFonts w:hint="eastAsia" w:ascii="仿宋" w:hAnsi="仿宋" w:eastAsia="仿宋" w:cs="仿宋"/>
          <w:sz w:val="32"/>
          <w:szCs w:val="32"/>
        </w:rPr>
        <w:t>、机要、信访、会议、固定资产、办公耗材等工作的计划安排和管理；新闻工作网宣与舆情监控到位、处置及时；完成组织史征编工作；信息系统运行无障，确保大组工网高效快捷运转，能够为组织部门工作提供科学化有效化服务。确保全区组织部门围绕中心工作、重点工作开展工作，圆满完成上级交办的工任务。</w:t>
      </w:r>
    </w:p>
    <w:p w14:paraId="09A5C78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48F483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F90132C">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sz w:val="32"/>
          <w:szCs w:val="32"/>
        </w:rPr>
        <w:t>根据《石家庄市长安区财政局关于开展202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年度绩效自评工作的通知》，我单位成立了自评工作小组，</w:t>
      </w:r>
      <w:r>
        <w:rPr>
          <w:rFonts w:hint="eastAsia" w:ascii="仿宋_GB2312" w:hAnsi="仿宋_GB2312" w:eastAsia="仿宋_GB2312" w:cs="仿宋_GB2312"/>
          <w:color w:val="000000" w:themeColor="text1"/>
          <w:sz w:val="32"/>
          <w:szCs w:val="32"/>
        </w:rPr>
        <w:t>工作小组召开专项会议，制定工作方案，部署部机关202</w:t>
      </w:r>
      <w:r>
        <w:rPr>
          <w:rFonts w:hint="eastAsia" w:ascii="仿宋_GB2312" w:hAnsi="仿宋_GB2312" w:eastAsia="仿宋_GB2312" w:cs="仿宋_GB2312"/>
          <w:color w:val="000000" w:themeColor="text1"/>
          <w:sz w:val="32"/>
          <w:szCs w:val="32"/>
          <w:lang w:val="en-US" w:eastAsia="zh-CN"/>
        </w:rPr>
        <w:t>5</w:t>
      </w:r>
      <w:r>
        <w:rPr>
          <w:rFonts w:hint="eastAsia" w:ascii="仿宋_GB2312" w:hAnsi="仿宋_GB2312" w:eastAsia="仿宋_GB2312" w:cs="仿宋_GB2312"/>
          <w:color w:val="000000" w:themeColor="text1"/>
          <w:sz w:val="32"/>
          <w:szCs w:val="32"/>
        </w:rPr>
        <w:t>年财政专项绩效自评工作。</w:t>
      </w:r>
    </w:p>
    <w:p w14:paraId="565DA876">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5AD9C46">
      <w:pPr>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val="en-US" w:eastAsia="zh-CN"/>
        </w:rPr>
        <w:t>3</w:t>
      </w:r>
      <w:r>
        <w:rPr>
          <w:rFonts w:hint="eastAsia" w:ascii="仿宋" w:hAnsi="仿宋" w:eastAsia="仿宋"/>
          <w:sz w:val="32"/>
          <w:szCs w:val="32"/>
        </w:rPr>
        <w:t>月</w:t>
      </w:r>
      <w:r>
        <w:rPr>
          <w:rFonts w:hint="eastAsia" w:ascii="仿宋" w:hAnsi="仿宋" w:eastAsia="仿宋"/>
          <w:sz w:val="32"/>
          <w:szCs w:val="32"/>
          <w:lang w:val="en-US" w:eastAsia="zh-CN"/>
        </w:rPr>
        <w:t>15</w:t>
      </w:r>
      <w:r>
        <w:rPr>
          <w:rFonts w:hint="eastAsia" w:ascii="仿宋" w:hAnsi="仿宋" w:eastAsia="仿宋"/>
          <w:sz w:val="32"/>
          <w:szCs w:val="32"/>
        </w:rPr>
        <w:t>日</w:t>
      </w:r>
      <w:r>
        <w:rPr>
          <w:rFonts w:hint="eastAsia" w:ascii="仿宋" w:hAnsi="仿宋" w:eastAsia="仿宋"/>
          <w:sz w:val="32"/>
          <w:szCs w:val="32"/>
          <w:lang w:eastAsia="zh-CN"/>
        </w:rPr>
        <w:t>—</w:t>
      </w:r>
      <w:r>
        <w:rPr>
          <w:rFonts w:hint="eastAsia" w:ascii="仿宋" w:hAnsi="仿宋" w:eastAsia="仿宋"/>
          <w:sz w:val="32"/>
          <w:szCs w:val="32"/>
          <w:lang w:val="en-US" w:eastAsia="zh-CN"/>
        </w:rPr>
        <w:t>25</w:t>
      </w:r>
      <w:r>
        <w:rPr>
          <w:rFonts w:hint="eastAsia" w:ascii="仿宋" w:hAnsi="仿宋" w:eastAsia="仿宋"/>
          <w:sz w:val="32"/>
          <w:szCs w:val="32"/>
        </w:rPr>
        <w:t>日收集评价资料，对项目进行核实掌握相关信息资料，</w:t>
      </w:r>
      <w:r>
        <w:rPr>
          <w:rFonts w:hint="eastAsia" w:ascii="仿宋" w:hAnsi="仿宋" w:eastAsia="仿宋"/>
          <w:sz w:val="32"/>
          <w:szCs w:val="32"/>
          <w:lang w:val="en-US" w:eastAsia="zh-CN"/>
        </w:rPr>
        <w:t>3</w:t>
      </w:r>
      <w:r>
        <w:rPr>
          <w:rFonts w:hint="eastAsia" w:ascii="仿宋" w:hAnsi="仿宋" w:eastAsia="仿宋"/>
          <w:sz w:val="32"/>
          <w:szCs w:val="32"/>
        </w:rPr>
        <w:t>月</w:t>
      </w:r>
      <w:r>
        <w:rPr>
          <w:rFonts w:hint="eastAsia" w:ascii="仿宋" w:hAnsi="仿宋" w:eastAsia="仿宋"/>
          <w:sz w:val="32"/>
          <w:szCs w:val="32"/>
          <w:lang w:val="en-US" w:eastAsia="zh-CN"/>
        </w:rPr>
        <w:t>25</w:t>
      </w:r>
      <w:r>
        <w:rPr>
          <w:rFonts w:hint="eastAsia" w:ascii="仿宋" w:hAnsi="仿宋" w:eastAsia="仿宋"/>
          <w:sz w:val="32"/>
          <w:szCs w:val="32"/>
        </w:rPr>
        <w:t>日</w:t>
      </w: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5</w:t>
      </w:r>
      <w:r>
        <w:rPr>
          <w:rFonts w:hint="eastAsia" w:ascii="仿宋" w:hAnsi="仿宋" w:eastAsia="仿宋"/>
          <w:sz w:val="32"/>
          <w:szCs w:val="32"/>
        </w:rPr>
        <w:t>日对资料进行分类整理、审查和分析，收集汇总后的资料对照评价指标体系进行详细的分析评价，逐项打分。</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5</w:t>
      </w:r>
      <w:r>
        <w:rPr>
          <w:rFonts w:hint="eastAsia" w:ascii="仿宋" w:hAnsi="仿宋" w:eastAsia="仿宋"/>
          <w:sz w:val="32"/>
          <w:szCs w:val="32"/>
        </w:rPr>
        <w:t>日</w:t>
      </w: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30</w:t>
      </w:r>
      <w:r>
        <w:rPr>
          <w:rFonts w:hint="eastAsia" w:ascii="仿宋" w:hAnsi="仿宋" w:eastAsia="仿宋"/>
          <w:sz w:val="32"/>
          <w:szCs w:val="32"/>
        </w:rPr>
        <w:t>日撰写评价报告，对于重要项目资金使用情况形成单独的重要项目自评报告，按时间</w:t>
      </w:r>
      <w:r>
        <w:rPr>
          <w:rFonts w:hint="eastAsia" w:ascii="仿宋" w:hAnsi="仿宋" w:eastAsia="仿宋"/>
          <w:sz w:val="32"/>
          <w:szCs w:val="32"/>
          <w:lang w:eastAsia="zh-CN"/>
        </w:rPr>
        <w:t>要求</w:t>
      </w:r>
      <w:r>
        <w:rPr>
          <w:rFonts w:hint="eastAsia" w:ascii="仿宋" w:hAnsi="仿宋" w:eastAsia="仿宋"/>
          <w:sz w:val="32"/>
          <w:szCs w:val="32"/>
        </w:rPr>
        <w:t>上报区财政行财</w:t>
      </w:r>
      <w:r>
        <w:rPr>
          <w:rFonts w:hint="eastAsia" w:ascii="仿宋" w:hAnsi="仿宋" w:eastAsia="仿宋"/>
          <w:sz w:val="32"/>
          <w:szCs w:val="32"/>
          <w:lang w:eastAsia="zh-CN"/>
        </w:rPr>
        <w:t>股</w:t>
      </w:r>
      <w:r>
        <w:rPr>
          <w:rFonts w:hint="eastAsia" w:ascii="仿宋" w:hAnsi="仿宋" w:eastAsia="仿宋"/>
          <w:sz w:val="32"/>
          <w:szCs w:val="32"/>
        </w:rPr>
        <w:t>，接受财政核查监督，进行整改。</w:t>
      </w:r>
    </w:p>
    <w:p w14:paraId="7642BB9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0463D6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2239EDD">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深入学习贯彻习近平新时代中国</w:t>
      </w:r>
      <w:r>
        <w:rPr>
          <w:rFonts w:hint="eastAsia" w:ascii="仿宋_GB2312" w:eastAsia="仿宋_GB2312"/>
          <w:sz w:val="32"/>
          <w:szCs w:val="32"/>
        </w:rPr>
        <w:t>特色社会主义思想，紧紧围绕推进</w:t>
      </w:r>
      <w:r>
        <w:rPr>
          <w:rFonts w:hint="eastAsia" w:ascii="仿宋_GB2312" w:eastAsia="仿宋_GB2312"/>
          <w:sz w:val="32"/>
          <w:szCs w:val="32"/>
          <w:lang w:eastAsia="zh-CN"/>
        </w:rPr>
        <w:t>国家</w:t>
      </w:r>
      <w:bookmarkStart w:id="0" w:name="_GoBack"/>
      <w:bookmarkEnd w:id="0"/>
      <w:r>
        <w:rPr>
          <w:rFonts w:hint="eastAsia" w:ascii="仿宋_GB2312" w:eastAsia="仿宋_GB2312"/>
          <w:sz w:val="32"/>
          <w:szCs w:val="32"/>
        </w:rPr>
        <w:t>治理体系和治理能力现代化，以党的政治建设为统领，以服务中心大局为目标，以改革创新为动力，统筹推进领导班子、干部队伍、人才队伍、基层组织建设，全面提升组织工作科学化水平。</w:t>
      </w:r>
    </w:p>
    <w:p w14:paraId="4A5D488D">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AE30064">
      <w:pPr>
        <w:spacing w:line="560" w:lineRule="exact"/>
        <w:ind w:left="0" w:leftChars="0" w:firstLine="640" w:firstLineChars="200"/>
        <w:rPr>
          <w:rFonts w:hint="eastAsia" w:ascii="仿宋_GB2312" w:eastAsia="仿宋_GB2312"/>
          <w:sz w:val="32"/>
          <w:szCs w:val="32"/>
          <w:lang w:eastAsia="zh-CN"/>
        </w:rPr>
      </w:pPr>
      <w:r>
        <w:rPr>
          <w:rFonts w:hint="eastAsia" w:ascii="仿宋_GB2312" w:eastAsia="仿宋_GB2312"/>
          <w:sz w:val="32"/>
          <w:szCs w:val="32"/>
        </w:rPr>
        <w:t>领导班子和干部队伍建设工作中，考核优秀奖励金按时足额拨付，考核指标设置科学规范，考核导向作用明显；按时完成干部教育培训，干部教育全覆盖，建立专业化干部队伍，使干部思想政治和业务水平显著提高；</w:t>
      </w:r>
      <w:r>
        <w:rPr>
          <w:rFonts w:hint="eastAsia" w:ascii="仿宋_GB2312" w:eastAsia="仿宋_GB2312"/>
          <w:sz w:val="32"/>
          <w:szCs w:val="32"/>
          <w:lang w:eastAsia="zh-CN"/>
        </w:rPr>
        <w:t>发放老党员生活补贴补助资金，使老党员的基本生活得到有效保障</w:t>
      </w:r>
    </w:p>
    <w:p w14:paraId="13EAEC8B">
      <w:pPr>
        <w:spacing w:line="560" w:lineRule="exact"/>
        <w:rPr>
          <w:rFonts w:hint="eastAsia" w:ascii="仿宋_GB2312" w:eastAsia="仿宋_GB2312"/>
          <w:sz w:val="32"/>
          <w:szCs w:val="32"/>
        </w:rPr>
      </w:pPr>
      <w:r>
        <w:rPr>
          <w:rFonts w:hint="eastAsia" w:ascii="仿宋_GB2312" w:eastAsia="仿宋_GB2312"/>
          <w:sz w:val="32"/>
          <w:szCs w:val="32"/>
        </w:rPr>
        <w:t xml:space="preserve">    人才工作及人才队伍建设工作中，</w:t>
      </w:r>
      <w:r>
        <w:rPr>
          <w:rFonts w:hint="eastAsia" w:ascii="仿宋_GB2312" w:eastAsia="仿宋_GB2312"/>
          <w:sz w:val="32"/>
          <w:szCs w:val="32"/>
          <w:lang w:eastAsia="zh-CN"/>
        </w:rPr>
        <w:t>积极</w:t>
      </w:r>
      <w:r>
        <w:rPr>
          <w:rFonts w:hint="eastAsia" w:ascii="仿宋_GB2312" w:eastAsia="仿宋_GB2312"/>
          <w:sz w:val="32"/>
          <w:szCs w:val="32"/>
        </w:rPr>
        <w:t>开展“招才引智进百校”宣讲活动，实现引才数量、引才质量全面提升。</w:t>
      </w:r>
    </w:p>
    <w:p w14:paraId="4981A891">
      <w:pPr>
        <w:spacing w:line="560" w:lineRule="exact"/>
        <w:ind w:firstLine="640"/>
        <w:rPr>
          <w:rFonts w:hint="eastAsia" w:ascii="仿宋_GB2312" w:eastAsia="仿宋_GB2312"/>
          <w:color w:val="auto"/>
          <w:sz w:val="32"/>
          <w:szCs w:val="32"/>
          <w:lang w:eastAsia="zh-CN"/>
        </w:rPr>
      </w:pPr>
      <w:r>
        <w:rPr>
          <w:rFonts w:hint="eastAsia" w:ascii="仿宋_GB2312" w:eastAsia="仿宋_GB2312"/>
          <w:sz w:val="32"/>
          <w:szCs w:val="32"/>
        </w:rPr>
        <w:t>基层党组织建设和党员队伍管理工作中，按时足额发放补贴，农村干部业务能力和</w:t>
      </w:r>
      <w:r>
        <w:rPr>
          <w:rFonts w:hint="eastAsia" w:ascii="仿宋_GB2312" w:eastAsia="仿宋_GB2312"/>
          <w:color w:val="auto"/>
          <w:sz w:val="32"/>
          <w:szCs w:val="32"/>
        </w:rPr>
        <w:t>素质水平得到提高；惠民资金由财政局直接拨付至街镇，项目按期落实；</w:t>
      </w:r>
      <w:r>
        <w:rPr>
          <w:rFonts w:hint="eastAsia" w:ascii="仿宋_GB2312" w:eastAsia="仿宋_GB2312"/>
          <w:color w:val="auto"/>
          <w:sz w:val="32"/>
          <w:szCs w:val="32"/>
          <w:lang w:eastAsia="zh-CN"/>
        </w:rPr>
        <w:t>解决到村任职选调生的后顾之忧，帮助他们尽快适应基层工作。</w:t>
      </w:r>
    </w:p>
    <w:p w14:paraId="7E36DED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ECC8AEE">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根据部门职责定位和各项工作履职情况进行综合评价，满分100分，我部门整体支出综合绩效评价</w:t>
      </w:r>
      <w:r>
        <w:rPr>
          <w:rFonts w:hint="eastAsia" w:ascii="仿宋" w:hAnsi="仿宋" w:eastAsia="仿宋"/>
          <w:sz w:val="32"/>
          <w:szCs w:val="32"/>
          <w:lang w:eastAsia="zh-CN"/>
        </w:rPr>
        <w:t>为</w:t>
      </w:r>
      <w:r>
        <w:rPr>
          <w:rFonts w:hint="eastAsia" w:ascii="仿宋" w:hAnsi="仿宋" w:eastAsia="仿宋"/>
          <w:sz w:val="32"/>
          <w:szCs w:val="32"/>
        </w:rPr>
        <w:t>优秀。</w:t>
      </w:r>
    </w:p>
    <w:p w14:paraId="3C85913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38B8AF7">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7AE58BA">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lang w:val="en-US" w:eastAsia="zh-CN"/>
        </w:rPr>
        <w:t xml:space="preserve"> </w:t>
      </w:r>
      <w:r>
        <w:rPr>
          <w:rFonts w:hint="eastAsia" w:ascii="仿宋" w:hAnsi="仿宋" w:eastAsia="仿宋"/>
          <w:sz w:val="32"/>
          <w:szCs w:val="32"/>
          <w:lang w:val="en-US" w:eastAsia="zh-CN"/>
        </w:rPr>
        <w:t>工作均正常开展，但部分项目受经费影响未能及时支付。</w:t>
      </w:r>
    </w:p>
    <w:p w14:paraId="560E55B8">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55AA2F8F">
      <w:pPr>
        <w:snapToGrid w:val="0"/>
        <w:spacing w:line="560" w:lineRule="exact"/>
        <w:ind w:firstLine="640" w:firstLineChars="200"/>
        <w:rPr>
          <w:rFonts w:hint="default" w:ascii="楷体" w:hAnsi="楷体" w:eastAsia="楷体"/>
          <w:bCs/>
          <w:sz w:val="32"/>
          <w:szCs w:val="32"/>
          <w:lang w:val="en-US" w:eastAsia="zh-CN"/>
        </w:rPr>
      </w:pPr>
      <w:r>
        <w:rPr>
          <w:rFonts w:hint="eastAsia" w:ascii="仿宋" w:hAnsi="仿宋" w:eastAsia="仿宋" w:cs="仿宋"/>
          <w:sz w:val="32"/>
          <w:szCs w:val="32"/>
        </w:rPr>
        <w:t>下一步将围绕单位的职能和主要工作任务，牢固树立绩效意识，将预算收支全部纳入绩效管理，实施重大政策和项目事前绩效评估，科学设定绩效目标，将绩效目标设置作为预算安排的前置条件，实行绩效运行监控。全面开展绩效评价，将绩效评价结果与预算安排和政策调整挂钩，提高资金使用效益。</w:t>
      </w:r>
    </w:p>
    <w:p w14:paraId="7DCE5281">
      <w:pPr>
        <w:numPr>
          <w:ilvl w:val="0"/>
          <w:numId w:val="0"/>
        </w:numPr>
        <w:spacing w:line="560" w:lineRule="exact"/>
        <w:ind w:leftChars="200"/>
        <w:rPr>
          <w:rFonts w:hint="eastAsia" w:ascii="楷体" w:hAnsi="楷体" w:eastAsia="楷体"/>
          <w:bCs/>
          <w:sz w:val="32"/>
          <w:szCs w:val="32"/>
        </w:rPr>
      </w:pPr>
    </w:p>
    <w:p w14:paraId="1DB67FF5">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632E2">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2C995F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E8A5D21"/>
    <w:rsid w:val="220A0D41"/>
    <w:rsid w:val="248C197D"/>
    <w:rsid w:val="252959AF"/>
    <w:rsid w:val="277A6671"/>
    <w:rsid w:val="292D35B7"/>
    <w:rsid w:val="2C8D1C48"/>
    <w:rsid w:val="300310F9"/>
    <w:rsid w:val="33EB6CFF"/>
    <w:rsid w:val="35A12947"/>
    <w:rsid w:val="37387040"/>
    <w:rsid w:val="39036536"/>
    <w:rsid w:val="3B625C0A"/>
    <w:rsid w:val="3CEE1963"/>
    <w:rsid w:val="47821C1A"/>
    <w:rsid w:val="4C9C27FE"/>
    <w:rsid w:val="512260B4"/>
    <w:rsid w:val="52BD6ACB"/>
    <w:rsid w:val="55537534"/>
    <w:rsid w:val="561A74F1"/>
    <w:rsid w:val="597244E8"/>
    <w:rsid w:val="59AA682C"/>
    <w:rsid w:val="5EB71C30"/>
    <w:rsid w:val="66AF0CE5"/>
    <w:rsid w:val="66EB61F1"/>
    <w:rsid w:val="6AC537CF"/>
    <w:rsid w:val="6E5B14A6"/>
    <w:rsid w:val="711B255E"/>
    <w:rsid w:val="72276C94"/>
    <w:rsid w:val="743C1D7D"/>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1232</Words>
  <Characters>1243</Characters>
  <Lines>4</Lines>
  <Paragraphs>1</Paragraphs>
  <TotalTime>0</TotalTime>
  <ScaleCrop>false</ScaleCrop>
  <LinksUpToDate>false</LinksUpToDate>
  <CharactersWithSpaces>1249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刘阳</cp:lastModifiedBy>
  <cp:lastPrinted>2026-04-27T08:08:00Z</cp:lastPrinted>
  <dcterms:modified xsi:type="dcterms:W3CDTF">2026-05-22T03:37:06Z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4A19074DC8414FE6B62EBFA35238C9D8</vt:lpwstr>
  </property>
  <property fmtid="{D5CDD505-2E9C-101B-9397-08002B2CF9AE}" pid="4" name="KSOTemplateDocerSaveRecord">
    <vt:lpwstr>eyJoZGlkIjoiNGQwMTcxMTU2MDMzNmYyMzQ0ZWU0YWEwNDg4ZWM5NGMiLCJ1c2VySWQiOiIxNjg4OTIxODE2In0=</vt:lpwstr>
  </property>
</Properties>
</file>