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长安区农业农村局</w:t>
      </w:r>
    </w:p>
    <w:p>
      <w:pPr>
        <w:widowControl w:val="0"/>
        <w:wordWrap/>
        <w:spacing w:line="560" w:lineRule="exact"/>
        <w:ind w:left="0" w:leftChars="0" w:right="0"/>
        <w:jc w:val="center"/>
        <w:textAlignment w:val="auto"/>
        <w:outlineLvl w:val="9"/>
        <w:rPr>
          <w:rFonts w:hint="eastAsia" w:ascii="宋体" w:hAnsi="宋体" w:cs="宋体"/>
          <w:b w:val="0"/>
          <w:bCs w:val="0"/>
          <w:sz w:val="44"/>
          <w:szCs w:val="44"/>
        </w:rPr>
      </w:pPr>
      <w:r>
        <w:rPr>
          <w:rFonts w:hint="eastAsia" w:ascii="宋体" w:hAnsi="宋体" w:cs="宋体"/>
          <w:b w:val="0"/>
          <w:bCs w:val="0"/>
          <w:sz w:val="44"/>
          <w:szCs w:val="44"/>
          <w:lang w:val="en-US" w:eastAsia="zh-CN"/>
        </w:rPr>
        <w:t>2025年度整体支出绩效</w:t>
      </w:r>
      <w:r>
        <w:rPr>
          <w:rFonts w:hint="eastAsia" w:ascii="宋体" w:hAnsi="宋体" w:cs="宋体"/>
          <w:b w:val="0"/>
          <w:bCs w:val="0"/>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64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贯彻落实市委市政府《关于全面落实预算绩效管理的实施意见》（石发﹝2019﹞8号）文件精神，遵循“科学性、规范性、客观性和公正性”的原则，对长安区农业农村局2025年</w:t>
      </w:r>
      <w:r>
        <w:rPr>
          <w:rFonts w:hint="eastAsia" w:ascii="仿宋_GB2312" w:hAnsi="仿宋_GB2312" w:eastAsia="仿宋_GB2312" w:cs="仿宋_GB2312"/>
          <w:sz w:val="32"/>
          <w:szCs w:val="32"/>
          <w:lang w:eastAsia="zh-CN"/>
        </w:rPr>
        <w:t>整体支出情况</w:t>
      </w:r>
      <w:r>
        <w:rPr>
          <w:rFonts w:hint="eastAsia" w:ascii="仿宋_GB2312" w:hAnsi="仿宋_GB2312" w:eastAsia="仿宋_GB2312" w:cs="仿宋_GB2312"/>
          <w:sz w:val="32"/>
          <w:szCs w:val="32"/>
        </w:rPr>
        <w:t>实施了财政支出绩效自评价，形成本评价报告。</w:t>
      </w:r>
    </w:p>
    <w:p>
      <w:pPr>
        <w:widowControl w:val="0"/>
        <w:wordWrap/>
        <w:adjustRightInd w:val="0"/>
        <w:snapToGrid w:val="0"/>
        <w:spacing w:line="560" w:lineRule="exact"/>
        <w:ind w:left="0" w:leftChars="0" w:right="0"/>
        <w:textAlignment w:val="auto"/>
        <w:outlineLvl w:val="9"/>
        <w:rPr>
          <w:rFonts w:ascii="黑体" w:hAnsi="黑体" w:eastAsia="黑体"/>
          <w:b/>
          <w:bCs/>
          <w:sz w:val="32"/>
          <w:szCs w:val="36"/>
        </w:rPr>
      </w:pPr>
      <w:r>
        <w:rPr>
          <w:rFonts w:hint="eastAsia" w:ascii="仿宋" w:hAnsi="仿宋" w:eastAsia="仿宋"/>
          <w:b/>
          <w:bCs/>
          <w:sz w:val="32"/>
          <w:szCs w:val="32"/>
        </w:rPr>
        <w:t xml:space="preserve">  </w:t>
      </w:r>
      <w:r>
        <w:rPr>
          <w:rFonts w:hint="eastAsia" w:ascii="仿宋" w:hAnsi="仿宋" w:eastAsia="仿宋"/>
          <w:b w:val="0"/>
          <w:bCs w:val="0"/>
          <w:sz w:val="32"/>
          <w:szCs w:val="32"/>
        </w:rPr>
        <w:t xml:space="preserve">  </w:t>
      </w:r>
      <w:r>
        <w:rPr>
          <w:rFonts w:hint="eastAsia" w:ascii="黑体" w:hAnsi="黑体" w:eastAsia="黑体"/>
          <w:b w:val="0"/>
          <w:bCs w:val="0"/>
          <w:sz w:val="32"/>
          <w:szCs w:val="32"/>
        </w:rPr>
        <w:t>一、</w:t>
      </w:r>
      <w:r>
        <w:rPr>
          <w:rFonts w:hint="eastAsia" w:ascii="黑体" w:hAnsi="黑体" w:eastAsia="黑体"/>
          <w:b w:val="0"/>
          <w:bCs w:val="0"/>
          <w:sz w:val="32"/>
          <w:szCs w:val="32"/>
          <w:lang w:eastAsia="zh-CN"/>
        </w:rPr>
        <w:t>部门</w:t>
      </w:r>
      <w:r>
        <w:rPr>
          <w:rFonts w:hint="eastAsia" w:ascii="黑体" w:hAnsi="黑体" w:eastAsia="黑体"/>
          <w:b w:val="0"/>
          <w:bCs w:val="0"/>
          <w:sz w:val="32"/>
          <w:szCs w:val="36"/>
        </w:rPr>
        <w:t>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3" w:firstLineChars="200"/>
        <w:textAlignment w:val="auto"/>
        <w:outlineLvl w:val="9"/>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（一）部门概况</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部门职责：石家庄市长安区农业农村局是区政府工作部门。贯彻落实中央、省、市、区委关于“三农”和水利工作的方针政策和决策部署，坚持和加强党对“三农”和水利工作集中统一领导，主要职责是：</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统筹研究和组织实施全区“三农”工作的发展战略、中长期规划、重大决策，贯彻落实中央、省、市农业农村有关部署。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协调推动发展全区农村社会事业、农村公共服务、农村文化、农村基础设施和乡村治理。牵头组织改善农村人居环境，协调推进乡村文明建设和优秀农耕文化建设，指导农业行业安全生产工作。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贯彻落实农村经济体制改革和巩固农村基本经营制度的政策。全面深化农村经济体制改革，负责农村集体产权制度改革，指导农村集体经济组织发展和集体资产管理工作，指导农民合作经济组织、农业社会化服务体系、新型农业经营主体建设与发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指导全区乡村产业、农产品加工业和休闲农业发展工作。配合市级做好促进大宗农产品流通相关工作。及时转发农业农村经济信息。培育和保护农业品牌。承担农业、水利统计和农业农村信息化有关工作。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负责全区种植业、畜牧业、渔业等农业各产业的监督管理。指导粮、棉、油、菜、水果、肉、蛋、奶、渔等农产品生产。组织构建现代农业产业体系、生产体系、经营体系，指导农业标准化生产。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lang w:eastAsia="zh-CN"/>
        </w:rPr>
        <w:t>负责全区农产品质量安全监督管理。配合做好农产品质量安全监测、追溯、监督抽查。贯彻落实农产品质量安全地方标准。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负责全区农业资源保护、开发和利用。指导农用地、农业生物物种资源的保护与管理，负责耕地及永久基本农田质量保护工作。指导农产品产地环境管理和农业清洁生产。指导设施农业、生态循环农业、节水农业发展以及农村可再生能源综合利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lang w:eastAsia="zh-CN"/>
        </w:rPr>
        <w:t>负责有关农业生产资料和农业投入品的监督管理。落实农业生产资料市级标准并监督实施；配合市级做好兽药残留限量和残留检测、兽医医政、兽药药政药检工作，负责执业兽医和畜禽屠宰行业管理。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lang w:eastAsia="zh-CN"/>
        </w:rPr>
        <w:t>负责农业防灾减灾、农作物重大病虫害防治工作。组织、监督全区动植物防疫工作，配合市级做好检疫工作，依法发布疫情并组织扑灭。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lang w:eastAsia="zh-CN"/>
        </w:rPr>
        <w:t>负责农业投资管理。提出农业投融资体制机制改革建议。贯彻落实市级制定的农业投资项目建设规划，向区委、区政府提出农业投资规模和方向，负责农业投资项目资金安排和监督管理。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11、</w:t>
      </w:r>
      <w:r>
        <w:rPr>
          <w:rFonts w:hint="eastAsia" w:ascii="仿宋_GB2312" w:hAnsi="仿宋_GB2312" w:eastAsia="仿宋_GB2312" w:cs="仿宋_GB2312"/>
          <w:b w:val="0"/>
          <w:bCs w:val="0"/>
          <w:sz w:val="32"/>
          <w:szCs w:val="32"/>
          <w:lang w:eastAsia="zh-CN"/>
        </w:rPr>
        <w:t>推动农业科技体制改革和农业科技创新体系建设。负责农业产业技术体系和农技推广体系建设，组织开展农业领域科技成果转化和技术推广。配合市级做好农业转基因生物安全监督管理和农业植物新品种保护。</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12、</w:t>
      </w:r>
      <w:r>
        <w:rPr>
          <w:rFonts w:hint="eastAsia" w:ascii="仿宋_GB2312" w:hAnsi="仿宋_GB2312" w:eastAsia="仿宋_GB2312" w:cs="仿宋_GB2312"/>
          <w:b w:val="0"/>
          <w:bCs w:val="0"/>
          <w:sz w:val="32"/>
          <w:szCs w:val="32"/>
          <w:lang w:eastAsia="zh-CN"/>
        </w:rPr>
        <w:t>指导农业农村人才工作。拟订农业农村人才队伍建设规划并组织实施，指导农业教育和农业职业技能开发，指导新型职业居民培育、农业科技人才培养和农村实用人才培训工作。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13、</w:t>
      </w:r>
      <w:r>
        <w:rPr>
          <w:rFonts w:hint="eastAsia" w:ascii="仿宋_GB2312" w:hAnsi="仿宋_GB2312" w:eastAsia="仿宋_GB2312" w:cs="仿宋_GB2312"/>
          <w:b w:val="0"/>
          <w:bCs w:val="0"/>
          <w:sz w:val="32"/>
          <w:szCs w:val="32"/>
          <w:lang w:eastAsia="zh-CN"/>
        </w:rPr>
        <w:t>配合市级做好农业对外合作、对外农业贸易和有关交流合作。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14、</w:t>
      </w:r>
      <w:r>
        <w:rPr>
          <w:rFonts w:hint="eastAsia" w:ascii="仿宋_GB2312" w:hAnsi="仿宋_GB2312" w:eastAsia="仿宋_GB2312" w:cs="仿宋_GB2312"/>
          <w:b w:val="0"/>
          <w:bCs w:val="0"/>
          <w:sz w:val="32"/>
          <w:szCs w:val="32"/>
          <w:lang w:eastAsia="zh-CN"/>
        </w:rPr>
        <w:t>负责保障水资源合理开发利用，贯彻落实上级水利政策、水利战略规划，有关法规、政府规章；贯彻落实全市水资源战略规划、重要河流流域综合规划、防洪规划等重大水利规划。</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lang w:eastAsia="zh-CN"/>
        </w:rPr>
        <w:t>负责生活、生产经营用水的统筹和保障。组织实施最严格水资源管理制度，实施水资源的统一监督管理。贯彻落实全市水中长期供求规划、水量分配方案。指导开展水资源有偿使用工作。指导农村水利行业供水和镇供水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16、</w:t>
      </w:r>
      <w:r>
        <w:rPr>
          <w:rFonts w:hint="eastAsia" w:ascii="仿宋_GB2312" w:hAnsi="仿宋_GB2312" w:eastAsia="仿宋_GB2312" w:cs="仿宋_GB2312"/>
          <w:b w:val="0"/>
          <w:bCs w:val="0"/>
          <w:sz w:val="32"/>
          <w:szCs w:val="32"/>
          <w:lang w:eastAsia="zh-CN"/>
        </w:rPr>
        <w:t>负责水资源保护工作。贯彻落实水资源保护规划，按规定开展饮用水水源保护有关工作，负责地下水开发利用和地下资源管理保护。负责地下水超采区综合治理。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17、</w:t>
      </w:r>
      <w:r>
        <w:rPr>
          <w:rFonts w:hint="eastAsia" w:ascii="仿宋_GB2312" w:hAnsi="仿宋_GB2312" w:eastAsia="仿宋_GB2312" w:cs="仿宋_GB2312"/>
          <w:b w:val="0"/>
          <w:bCs w:val="0"/>
          <w:sz w:val="32"/>
          <w:szCs w:val="32"/>
          <w:lang w:eastAsia="zh-CN"/>
        </w:rPr>
        <w:t>负责节约用水工作。贯彻落实节约用水政策，贯彻落实市级节约用水规划并监督实施。组织实施用水总量控制等管理制度，指导和推动节水型社会建设工作。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18、</w:t>
      </w:r>
      <w:r>
        <w:rPr>
          <w:rFonts w:hint="eastAsia" w:ascii="仿宋_GB2312" w:hAnsi="仿宋_GB2312" w:eastAsia="仿宋_GB2312" w:cs="仿宋_GB2312"/>
          <w:b w:val="0"/>
          <w:bCs w:val="0"/>
          <w:sz w:val="32"/>
          <w:szCs w:val="32"/>
          <w:lang w:eastAsia="zh-CN"/>
        </w:rPr>
        <w:t>负责水土保持工作。贯彻落实市级水土保持规划并监督实施。组织实施水土流失的综合防治。负责建设项目水土保持监督管理工作，指导重点水土保持建设项目的实施。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19、</w:t>
      </w:r>
      <w:r>
        <w:rPr>
          <w:rFonts w:hint="eastAsia" w:ascii="仿宋_GB2312" w:hAnsi="仿宋_GB2312" w:eastAsia="仿宋_GB2312" w:cs="仿宋_GB2312"/>
          <w:b w:val="0"/>
          <w:bCs w:val="0"/>
          <w:sz w:val="32"/>
          <w:szCs w:val="32"/>
          <w:lang w:eastAsia="zh-CN"/>
        </w:rPr>
        <w:t>指导农村水利工作。指导节水灌溉有关工作，农村水利改革创新和社会化服务体系建设。配合市级做好农村水能源开发工作。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lang w:eastAsia="zh-CN"/>
        </w:rPr>
        <w:t>配合协调做好涉水违法事件的查处，指导水政监察。依法负责水利行业安全生产工作。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21、</w:t>
      </w:r>
      <w:r>
        <w:rPr>
          <w:rFonts w:hint="eastAsia" w:ascii="仿宋_GB2312" w:hAnsi="仿宋_GB2312" w:eastAsia="仿宋_GB2312" w:cs="仿宋_GB2312"/>
          <w:b w:val="0"/>
          <w:bCs w:val="0"/>
          <w:sz w:val="32"/>
          <w:szCs w:val="32"/>
          <w:lang w:eastAsia="zh-CN"/>
        </w:rPr>
        <w:t>贯彻落实综合防灾规划相关要求，配合抓好洪水干旱灾害防治规划。贯彻落实市级重要河道和重要工程的防御洪水抗御旱灾调度及应急水量调度方案并组织实施。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22、</w:t>
      </w:r>
      <w:r>
        <w:rPr>
          <w:rFonts w:hint="eastAsia" w:ascii="仿宋_GB2312" w:hAnsi="仿宋_GB2312" w:eastAsia="仿宋_GB2312" w:cs="仿宋_GB2312"/>
          <w:b w:val="0"/>
          <w:bCs w:val="0"/>
          <w:sz w:val="32"/>
          <w:szCs w:val="32"/>
          <w:lang w:eastAsia="zh-CN"/>
        </w:rPr>
        <w:t>贯彻落实党中央、国务院和省、市、区关于河长制的决策部署，办理市河长办、区级总河长、区级河长交办的事项，协助区级总河长、区级河长对相关镇（街道）、有关部门履行河长制相关职责进行指导、协调、监督和考核。</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23、</w:t>
      </w:r>
      <w:r>
        <w:rPr>
          <w:rFonts w:hint="eastAsia" w:ascii="仿宋_GB2312" w:hAnsi="仿宋_GB2312" w:eastAsia="仿宋_GB2312" w:cs="仿宋_GB2312"/>
          <w:b w:val="0"/>
          <w:bCs w:val="0"/>
          <w:sz w:val="32"/>
          <w:szCs w:val="32"/>
          <w:lang w:eastAsia="zh-CN"/>
        </w:rPr>
        <w:t>完成区委、区政府和区委农村工作领导小组交办的其他任务。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机构设置：</w:t>
      </w:r>
      <w:r>
        <w:rPr>
          <w:rFonts w:hint="eastAsia" w:ascii="仿宋_GB2312" w:hAnsi="仿宋" w:eastAsia="仿宋_GB2312"/>
          <w:sz w:val="32"/>
          <w:szCs w:val="32"/>
          <w:lang w:eastAsia="zh-CN"/>
        </w:rPr>
        <w:t>本部门202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年设行政编制机构1个：石家庄市长安区农业</w:t>
      </w:r>
      <w:r>
        <w:rPr>
          <w:rFonts w:hint="eastAsia" w:ascii="仿宋_GB2312" w:hAnsi="仿宋" w:eastAsia="仿宋_GB2312"/>
          <w:sz w:val="32"/>
          <w:szCs w:val="32"/>
          <w:lang w:eastAsia="zh-CN"/>
        </w:rPr>
        <w:t>农村局</w:t>
      </w:r>
      <w:r>
        <w:rPr>
          <w:rFonts w:hint="eastAsia" w:ascii="仿宋_GB2312" w:hAnsi="仿宋" w:eastAsia="仿宋_GB2312"/>
          <w:sz w:val="32"/>
          <w:szCs w:val="32"/>
        </w:rPr>
        <w:t>。内设业务</w:t>
      </w:r>
      <w:r>
        <w:rPr>
          <w:rFonts w:hint="eastAsia" w:ascii="仿宋_GB2312" w:hAnsi="仿宋" w:eastAsia="仿宋_GB2312"/>
          <w:sz w:val="32"/>
          <w:szCs w:val="32"/>
          <w:lang w:val="en-US" w:eastAsia="zh-CN"/>
        </w:rPr>
        <w:t>股</w:t>
      </w:r>
      <w:r>
        <w:rPr>
          <w:rFonts w:hint="eastAsia" w:ascii="仿宋_GB2312" w:hAnsi="仿宋" w:eastAsia="仿宋_GB2312"/>
          <w:sz w:val="32"/>
          <w:szCs w:val="32"/>
        </w:rPr>
        <w:t>室</w:t>
      </w:r>
      <w:r>
        <w:rPr>
          <w:rFonts w:hint="eastAsia" w:ascii="仿宋_GB2312" w:hAnsi="仿宋" w:eastAsia="仿宋_GB2312"/>
          <w:sz w:val="32"/>
          <w:szCs w:val="32"/>
          <w:lang w:val="en-US" w:eastAsia="zh-CN"/>
        </w:rPr>
        <w:t>5</w:t>
      </w:r>
      <w:r>
        <w:rPr>
          <w:rFonts w:hint="eastAsia" w:ascii="仿宋_GB2312" w:hAnsi="仿宋" w:eastAsia="仿宋_GB2312"/>
          <w:sz w:val="32"/>
          <w:szCs w:val="32"/>
        </w:rPr>
        <w:t>个</w:t>
      </w:r>
      <w:r>
        <w:rPr>
          <w:rFonts w:hint="eastAsia" w:ascii="仿宋_GB2312" w:hAnsi="仿宋" w:eastAsia="仿宋_GB2312"/>
          <w:sz w:val="32"/>
          <w:szCs w:val="32"/>
          <w:lang w:eastAsia="zh-CN"/>
        </w:rPr>
        <w:t>：</w:t>
      </w:r>
      <w:r>
        <w:rPr>
          <w:rFonts w:hint="eastAsia" w:ascii="仿宋_GB2312" w:hAnsi="仿宋" w:eastAsia="仿宋_GB2312"/>
          <w:sz w:val="32"/>
          <w:szCs w:val="32"/>
        </w:rPr>
        <w:t>办公室、农</w:t>
      </w:r>
      <w:r>
        <w:rPr>
          <w:rFonts w:hint="eastAsia" w:ascii="仿宋_GB2312" w:hAnsi="仿宋" w:eastAsia="仿宋_GB2312"/>
          <w:sz w:val="32"/>
          <w:szCs w:val="32"/>
          <w:lang w:eastAsia="zh-CN"/>
        </w:rPr>
        <w:t>村、乡村振兴</w:t>
      </w:r>
      <w:r>
        <w:rPr>
          <w:rFonts w:hint="eastAsia" w:ascii="仿宋_GB2312" w:hAnsi="仿宋" w:eastAsia="仿宋_GB2312"/>
          <w:sz w:val="32"/>
          <w:szCs w:val="32"/>
        </w:rPr>
        <w:t>、</w:t>
      </w:r>
      <w:r>
        <w:rPr>
          <w:rFonts w:hint="eastAsia" w:ascii="仿宋_GB2312" w:hAnsi="仿宋" w:eastAsia="仿宋_GB2312"/>
          <w:sz w:val="32"/>
          <w:szCs w:val="32"/>
          <w:lang w:eastAsia="zh-CN"/>
        </w:rPr>
        <w:t>农牧</w:t>
      </w:r>
      <w:r>
        <w:rPr>
          <w:rFonts w:hint="eastAsia" w:ascii="仿宋_GB2312" w:hAnsi="仿宋" w:eastAsia="仿宋_GB2312"/>
          <w:sz w:val="32"/>
          <w:szCs w:val="32"/>
        </w:rPr>
        <w:t>、水</w:t>
      </w:r>
      <w:r>
        <w:rPr>
          <w:rFonts w:hint="eastAsia" w:ascii="仿宋_GB2312" w:hAnsi="仿宋" w:eastAsia="仿宋_GB2312"/>
          <w:sz w:val="32"/>
          <w:szCs w:val="32"/>
          <w:lang w:val="en-US" w:eastAsia="zh-CN"/>
        </w:rPr>
        <w:t>利</w:t>
      </w:r>
      <w:r>
        <w:rPr>
          <w:rFonts w:hint="eastAsia" w:ascii="仿宋_GB2312" w:hAnsi="仿宋" w:eastAsia="仿宋_GB2312"/>
          <w:sz w:val="32"/>
          <w:szCs w:val="32"/>
          <w:lang w:eastAsia="zh-CN"/>
        </w:rPr>
        <w:t>。</w:t>
      </w:r>
      <w:r>
        <w:rPr>
          <w:rFonts w:hint="eastAsia" w:ascii="仿宋_GB2312" w:hAnsi="仿宋" w:eastAsia="仿宋_GB2312"/>
          <w:sz w:val="32"/>
          <w:szCs w:val="32"/>
        </w:rPr>
        <w:t>财务独立核算</w:t>
      </w:r>
      <w:r>
        <w:rPr>
          <w:rFonts w:hint="eastAsia" w:ascii="仿宋_GB2312" w:hAnsi="仿宋" w:eastAsia="仿宋_GB2312"/>
          <w:sz w:val="32"/>
          <w:szCs w:val="32"/>
          <w:lang w:eastAsia="zh-CN"/>
        </w:rPr>
        <w:t>，</w:t>
      </w:r>
      <w:r>
        <w:rPr>
          <w:rFonts w:hint="eastAsia" w:ascii="仿宋_GB2312" w:hAnsi="仿宋" w:eastAsia="仿宋_GB2312"/>
          <w:sz w:val="32"/>
          <w:szCs w:val="32"/>
        </w:rPr>
        <w:t>事业编制机构1个</w:t>
      </w:r>
      <w:r>
        <w:rPr>
          <w:rFonts w:hint="eastAsia" w:ascii="仿宋_GB2312" w:hAnsi="仿宋" w:eastAsia="仿宋_GB2312"/>
          <w:sz w:val="32"/>
          <w:szCs w:val="32"/>
          <w:lang w:eastAsia="zh-CN"/>
        </w:rPr>
        <w:t>为</w:t>
      </w:r>
      <w:r>
        <w:rPr>
          <w:rFonts w:hint="eastAsia" w:ascii="仿宋_GB2312" w:hAnsi="仿宋" w:eastAsia="仿宋_GB2312"/>
          <w:sz w:val="32"/>
          <w:szCs w:val="32"/>
        </w:rPr>
        <w:t>石家庄市</w:t>
      </w:r>
      <w:r>
        <w:rPr>
          <w:rFonts w:hint="eastAsia" w:ascii="仿宋_GB2312" w:hAnsi="仿宋" w:eastAsia="仿宋_GB2312"/>
          <w:sz w:val="32"/>
          <w:szCs w:val="32"/>
          <w:highlight w:val="none"/>
        </w:rPr>
        <w:t>长安区</w:t>
      </w:r>
      <w:r>
        <w:rPr>
          <w:rFonts w:hint="eastAsia" w:ascii="仿宋_GB2312" w:hAnsi="仿宋" w:eastAsia="仿宋_GB2312"/>
          <w:sz w:val="32"/>
          <w:szCs w:val="32"/>
          <w:highlight w:val="none"/>
          <w:lang w:eastAsia="zh-CN"/>
        </w:rPr>
        <w:t>农业发展服务中心</w:t>
      </w:r>
      <w:r>
        <w:rPr>
          <w:rFonts w:hint="eastAsia" w:ascii="仿宋_GB2312" w:hAnsi="仿宋" w:eastAsia="仿宋_GB2312"/>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val="0"/>
          <w:bCs w:val="0"/>
          <w:sz w:val="32"/>
          <w:szCs w:val="32"/>
          <w:lang w:val="en-US" w:eastAsia="zh-CN"/>
        </w:rPr>
        <w:t>人员基本情况：</w:t>
      </w:r>
      <w:r>
        <w:rPr>
          <w:rFonts w:hint="eastAsia" w:ascii="仿宋_GB2312" w:hAnsi="仿宋_GB2312" w:eastAsia="仿宋_GB2312" w:cs="仿宋_GB2312"/>
          <w:color w:val="000000"/>
          <w:sz w:val="32"/>
          <w:szCs w:val="32"/>
          <w:lang w:eastAsia="zh-CN"/>
        </w:rPr>
        <w:t>本年度年末实有在职人员</w:t>
      </w:r>
      <w:r>
        <w:rPr>
          <w:rFonts w:hint="eastAsia" w:ascii="仿宋_GB2312" w:hAnsi="仿宋_GB2312" w:eastAsia="仿宋_GB2312" w:cs="仿宋_GB2312"/>
          <w:color w:val="000000"/>
          <w:sz w:val="32"/>
          <w:szCs w:val="32"/>
          <w:lang w:val="en-US" w:eastAsia="zh-CN"/>
        </w:rPr>
        <w:t>22人（行政13人、事业9人），另有退休人员14人、长期聘用人员2人。</w:t>
      </w:r>
    </w:p>
    <w:p>
      <w:pPr>
        <w:pStyle w:val="5"/>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lang w:val="en-US" w:eastAsia="zh-CN"/>
        </w:rPr>
        <w:t>资产基本情况：</w:t>
      </w:r>
      <w:r>
        <w:rPr>
          <w:rFonts w:hint="eastAsia" w:ascii="仿宋_GB2312" w:hAnsi="仿宋_GB2312" w:eastAsia="仿宋_GB2312" w:cs="仿宋_GB2312"/>
          <w:sz w:val="32"/>
          <w:szCs w:val="32"/>
          <w:highlight w:val="none"/>
          <w:lang w:eastAsia="zh-CN"/>
        </w:rPr>
        <w:t>截至</w:t>
      </w:r>
      <w:r>
        <w:rPr>
          <w:rFonts w:hint="eastAsia" w:ascii="仿宋_GB2312" w:hAnsi="仿宋_GB2312" w:eastAsia="仿宋_GB2312" w:cs="仿宋_GB2312"/>
          <w:sz w:val="32"/>
          <w:szCs w:val="32"/>
          <w:highlight w:val="none"/>
          <w:lang w:val="en-US" w:eastAsia="zh-CN"/>
        </w:rPr>
        <w:t>2025</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z w:val="32"/>
          <w:szCs w:val="32"/>
          <w:highlight w:val="none"/>
          <w:lang w:val="en-US"/>
        </w:rPr>
        <w:t>12</w:t>
      </w:r>
      <w:r>
        <w:rPr>
          <w:rFonts w:hint="eastAsia" w:ascii="仿宋_GB2312" w:hAnsi="仿宋_GB2312" w:eastAsia="仿宋_GB2312" w:cs="仿宋_GB2312"/>
          <w:sz w:val="32"/>
          <w:szCs w:val="32"/>
          <w:highlight w:val="none"/>
          <w:lang w:eastAsia="zh-CN"/>
        </w:rPr>
        <w:t>月</w:t>
      </w:r>
      <w:r>
        <w:rPr>
          <w:rFonts w:hint="eastAsia" w:ascii="仿宋_GB2312" w:hAnsi="仿宋_GB2312" w:eastAsia="仿宋_GB2312" w:cs="仿宋_GB2312"/>
          <w:sz w:val="32"/>
          <w:szCs w:val="32"/>
          <w:highlight w:val="none"/>
          <w:lang w:val="en-US"/>
        </w:rPr>
        <w:t>31</w:t>
      </w:r>
      <w:r>
        <w:rPr>
          <w:rFonts w:hint="eastAsia" w:ascii="仿宋_GB2312" w:hAnsi="仿宋_GB2312" w:eastAsia="仿宋_GB2312" w:cs="仿宋_GB2312"/>
          <w:sz w:val="32"/>
          <w:szCs w:val="32"/>
          <w:highlight w:val="none"/>
          <w:lang w:eastAsia="zh-CN"/>
        </w:rPr>
        <w:t>日，我单位资产总额</w:t>
      </w:r>
      <w:r>
        <w:rPr>
          <w:rFonts w:hint="eastAsia" w:ascii="仿宋_GB2312" w:hAnsi="仿宋_GB2312" w:eastAsia="仿宋_GB2312" w:cs="仿宋_GB2312"/>
          <w:sz w:val="32"/>
          <w:szCs w:val="32"/>
          <w:highlight w:val="none"/>
          <w:lang w:val="en-US" w:eastAsia="zh-CN"/>
        </w:rPr>
        <w:t>37.36</w:t>
      </w:r>
      <w:r>
        <w:rPr>
          <w:rFonts w:hint="eastAsia" w:ascii="仿宋_GB2312" w:hAnsi="仿宋_GB2312" w:eastAsia="仿宋_GB2312" w:cs="仿宋_GB2312"/>
          <w:sz w:val="32"/>
          <w:szCs w:val="32"/>
          <w:highlight w:val="none"/>
          <w:lang w:eastAsia="zh-CN"/>
        </w:rPr>
        <w:t>万元，其中流动资产</w:t>
      </w:r>
      <w:r>
        <w:rPr>
          <w:rFonts w:hint="eastAsia" w:ascii="仿宋_GB2312" w:hAnsi="仿宋_GB2312" w:eastAsia="仿宋_GB2312" w:cs="仿宋_GB2312"/>
          <w:sz w:val="32"/>
          <w:szCs w:val="32"/>
          <w:highlight w:val="none"/>
          <w:lang w:val="en-US" w:eastAsia="zh-CN"/>
        </w:rPr>
        <w:t>1.02万元；非流动资资产36.34万元。</w:t>
      </w:r>
      <w:r>
        <w:rPr>
          <w:rFonts w:hint="eastAsia" w:ascii="仿宋_GB2312" w:hAnsi="仿宋_GB2312" w:eastAsia="仿宋_GB2312" w:cs="仿宋_GB2312"/>
          <w:sz w:val="32"/>
          <w:szCs w:val="32"/>
          <w:highlight w:val="none"/>
          <w:lang w:eastAsia="zh-CN"/>
        </w:rPr>
        <w:t>负债总额</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万元</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eastAsia="zh-CN"/>
        </w:rPr>
        <w:t>净资产万元。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0" w:firstLineChars="200"/>
        <w:textAlignment w:val="auto"/>
        <w:outlineLvl w:val="9"/>
        <w:rPr>
          <w:rFonts w:hint="eastAsia" w:ascii="楷体" w:hAnsi="楷体" w:eastAsia="楷体"/>
          <w:bCs/>
          <w:sz w:val="32"/>
          <w:szCs w:val="32"/>
          <w:lang w:eastAsia="zh-CN"/>
        </w:rPr>
      </w:pPr>
      <w:r>
        <w:rPr>
          <w:rFonts w:hint="eastAsia" w:ascii="楷体" w:hAnsi="楷体" w:eastAsia="楷体"/>
          <w:bCs/>
          <w:sz w:val="32"/>
          <w:szCs w:val="32"/>
          <w:lang w:eastAsia="zh-CN"/>
        </w:rPr>
        <w:t>（二）部门收支预决算情况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Times New Roman" w:eastAsia="仿宋_GB2312" w:cs="DengXian-Regular"/>
          <w:sz w:val="32"/>
          <w:szCs w:val="32"/>
          <w:lang w:eastAsia="zh-CN"/>
        </w:rPr>
      </w:pPr>
      <w:r>
        <w:rPr>
          <w:rFonts w:hint="eastAsia" w:ascii="仿宋_GB2312" w:hAnsi="仿宋_GB2312" w:eastAsia="仿宋_GB2312" w:cs="仿宋_GB2312"/>
          <w:sz w:val="32"/>
          <w:szCs w:val="32"/>
          <w:lang w:val="en-US" w:eastAsia="zh-CN"/>
        </w:rPr>
        <w:t>本部门2025年度全年</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val="en-US" w:eastAsia="zh-CN"/>
        </w:rPr>
        <w:t>1929.43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年初结转和结余数</w:t>
      </w:r>
      <w:r>
        <w:rPr>
          <w:rFonts w:hint="eastAsia" w:ascii="仿宋_GB2312" w:hAnsi="仿宋_GB2312" w:eastAsia="仿宋_GB2312" w:cs="仿宋_GB2312"/>
          <w:sz w:val="32"/>
          <w:szCs w:val="32"/>
          <w:lang w:val="en-US" w:eastAsia="zh-CN"/>
        </w:rPr>
        <w:t>0万元，</w:t>
      </w:r>
      <w:r>
        <w:rPr>
          <w:rFonts w:hint="eastAsia" w:ascii="仿宋_GB2312" w:hAnsi="Times New Roman" w:eastAsia="仿宋_GB2312" w:cs="DengXian-Regular"/>
          <w:sz w:val="32"/>
          <w:szCs w:val="32"/>
        </w:rPr>
        <w:t>本部门</w:t>
      </w:r>
      <w:r>
        <w:rPr>
          <w:rFonts w:hint="eastAsia" w:ascii="仿宋_GB2312" w:hAnsi="Times New Roman" w:eastAsia="仿宋_GB2312" w:cs="DengXian-Regular"/>
          <w:sz w:val="32"/>
          <w:szCs w:val="32"/>
          <w:lang w:eastAsia="zh-CN"/>
        </w:rPr>
        <w:t>202</w:t>
      </w:r>
      <w:r>
        <w:rPr>
          <w:rFonts w:hint="eastAsia" w:ascii="仿宋_GB2312" w:hAnsi="Times New Roman" w:eastAsia="仿宋_GB2312" w:cs="DengXian-Regular"/>
          <w:sz w:val="32"/>
          <w:szCs w:val="32"/>
          <w:lang w:val="en-US" w:eastAsia="zh-CN"/>
        </w:rPr>
        <w:t>5</w:t>
      </w:r>
      <w:r>
        <w:rPr>
          <w:rFonts w:hint="eastAsia" w:ascii="仿宋_GB2312" w:hAnsi="Times New Roman" w:eastAsia="仿宋_GB2312" w:cs="DengXian-Regular"/>
          <w:sz w:val="32"/>
          <w:szCs w:val="32"/>
        </w:rPr>
        <w:t>年度支出</w:t>
      </w:r>
      <w:r>
        <w:rPr>
          <w:rFonts w:hint="eastAsia" w:ascii="仿宋_GB2312" w:hAnsi="Times New Roman" w:eastAsia="仿宋_GB2312" w:cs="DengXian-Regular"/>
          <w:sz w:val="32"/>
          <w:szCs w:val="32"/>
          <w:lang w:eastAsia="zh-CN"/>
        </w:rPr>
        <w:t>决算数</w:t>
      </w:r>
      <w:r>
        <w:rPr>
          <w:rFonts w:hint="eastAsia" w:ascii="仿宋_GB2312" w:hAnsi="仿宋_GB2312" w:eastAsia="仿宋_GB2312" w:cs="仿宋_GB2312"/>
          <w:sz w:val="32"/>
          <w:szCs w:val="32"/>
          <w:lang w:val="en-US" w:eastAsia="zh-CN"/>
        </w:rPr>
        <w:t>1929.43</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0" w:firstLineChars="200"/>
        <w:textAlignment w:val="auto"/>
        <w:outlineLvl w:val="9"/>
        <w:rPr>
          <w:rFonts w:hint="eastAsia" w:ascii="楷体" w:hAnsi="楷体" w:eastAsia="楷体"/>
          <w:bCs/>
          <w:sz w:val="32"/>
          <w:szCs w:val="32"/>
          <w:lang w:eastAsia="zh-CN"/>
        </w:rPr>
      </w:pPr>
      <w:r>
        <w:rPr>
          <w:rFonts w:hint="eastAsia" w:ascii="楷体" w:hAnsi="楷体" w:eastAsia="楷体"/>
          <w:bCs/>
          <w:sz w:val="32"/>
          <w:szCs w:val="32"/>
          <w:lang w:eastAsia="zh-CN"/>
        </w:rPr>
        <w:t>（三）部门整体支出绩效目标、指标</w:t>
      </w:r>
    </w:p>
    <w:p>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w:t>
      </w:r>
      <w:r>
        <w:rPr>
          <w:rFonts w:hint="eastAsia" w:ascii="仿宋_GB2312" w:hAnsi="仿宋_GB2312" w:eastAsia="仿宋_GB2312" w:cs="仿宋_GB2312"/>
          <w:sz w:val="32"/>
          <w:szCs w:val="32"/>
          <w:lang w:eastAsia="zh-CN"/>
        </w:rPr>
        <w:t>想为指导</w:t>
      </w:r>
      <w:r>
        <w:rPr>
          <w:rFonts w:hint="eastAsia" w:ascii="仿宋_GB2312" w:hAnsi="仿宋_GB2312" w:eastAsia="仿宋_GB2312" w:cs="仿宋_GB2312"/>
          <w:sz w:val="32"/>
          <w:szCs w:val="32"/>
        </w:rPr>
        <w:t>，全面贯彻习近平总书记关于“三农”工作的重要论述和重要指示精神，</w:t>
      </w:r>
      <w:r>
        <w:rPr>
          <w:rFonts w:hint="eastAsia" w:ascii="仿宋_GB2312" w:hAnsi="仿宋_GB2312" w:eastAsia="仿宋_GB2312" w:cs="仿宋_GB2312"/>
          <w:sz w:val="32"/>
          <w:szCs w:val="32"/>
          <w:lang w:eastAsia="zh-CN"/>
        </w:rPr>
        <w:t>全局上下</w:t>
      </w:r>
      <w:r>
        <w:rPr>
          <w:rFonts w:hint="eastAsia" w:ascii="仿宋_GB2312" w:hAnsi="仿宋_GB2312" w:eastAsia="仿宋_GB2312" w:cs="仿宋_GB2312"/>
          <w:sz w:val="32"/>
          <w:szCs w:val="32"/>
        </w:rPr>
        <w:t>担当作为、攻坚克难</w:t>
      </w:r>
      <w:r>
        <w:rPr>
          <w:rFonts w:hint="eastAsia" w:ascii="仿宋_GB2312" w:hAnsi="仿宋_GB2312" w:eastAsia="仿宋_GB2312" w:cs="仿宋_GB2312"/>
          <w:sz w:val="32"/>
          <w:szCs w:val="32"/>
          <w:lang w:eastAsia="zh-CN"/>
        </w:rPr>
        <w:t>、持续发力</w:t>
      </w:r>
      <w:r>
        <w:rPr>
          <w:rFonts w:hint="eastAsia" w:ascii="仿宋_GB2312" w:hAnsi="仿宋_GB2312" w:eastAsia="仿宋_GB2312" w:cs="仿宋_GB2312"/>
          <w:sz w:val="32"/>
          <w:szCs w:val="32"/>
          <w:lang w:val="zh-CN" w:eastAsia="zh-CN"/>
        </w:rPr>
        <w:t>，全力推动全区</w:t>
      </w:r>
      <w:r>
        <w:rPr>
          <w:rFonts w:hint="eastAsia" w:ascii="仿宋_GB2312" w:hAnsi="仿宋_GB2312" w:eastAsia="仿宋_GB2312" w:cs="仿宋_GB2312"/>
          <w:sz w:val="32"/>
          <w:szCs w:val="32"/>
        </w:rPr>
        <w:t>“三农”各项重点工作</w:t>
      </w:r>
      <w:r>
        <w:rPr>
          <w:rFonts w:hint="eastAsia" w:ascii="仿宋_GB2312" w:hAnsi="仿宋_GB2312" w:eastAsia="仿宋_GB2312" w:cs="仿宋_GB2312"/>
          <w:sz w:val="32"/>
          <w:szCs w:val="32"/>
          <w:lang w:eastAsia="zh-CN"/>
        </w:rPr>
        <w:t>落地见效，实现全区农业农村高质量发展。一是</w:t>
      </w:r>
      <w:r>
        <w:rPr>
          <w:rFonts w:hint="eastAsia" w:ascii="仿宋_GB2312" w:hAnsi="仿宋_GB2312" w:eastAsia="仿宋_GB2312" w:cs="仿宋_GB2312"/>
          <w:b w:val="0"/>
          <w:bCs w:val="0"/>
          <w:i w:val="0"/>
          <w:iCs w:val="0"/>
          <w:color w:val="000000"/>
          <w:spacing w:val="0"/>
          <w:w w:val="100"/>
          <w:sz w:val="32"/>
          <w:szCs w:val="32"/>
          <w:highlight w:val="none"/>
          <w:vertAlign w:val="baseline"/>
          <w:lang w:eastAsia="zh-CN"/>
        </w:rPr>
        <w:t>落实惠农政策</w:t>
      </w:r>
      <w:r>
        <w:rPr>
          <w:rFonts w:hint="eastAsia" w:ascii="仿宋_GB2312" w:hAnsi="仿宋_GB2312" w:eastAsia="仿宋_GB2312" w:cs="仿宋_GB2312"/>
          <w:b w:val="0"/>
          <w:bCs w:val="0"/>
          <w:i w:val="0"/>
          <w:iCs w:val="0"/>
          <w:color w:val="000000"/>
          <w:spacing w:val="0"/>
          <w:w w:val="100"/>
          <w:sz w:val="32"/>
          <w:szCs w:val="32"/>
          <w:highlight w:val="none"/>
          <w:vertAlign w:val="baseline"/>
        </w:rPr>
        <w:t>，抓细抓实全年粮食生产</w:t>
      </w:r>
      <w:r>
        <w:rPr>
          <w:rFonts w:hint="eastAsia" w:ascii="仿宋_GB2312" w:hAnsi="仿宋_GB2312" w:eastAsia="仿宋_GB2312" w:cs="仿宋_GB2312"/>
          <w:b w:val="0"/>
          <w:bCs w:val="0"/>
          <w:i w:val="0"/>
          <w:iCs w:val="0"/>
          <w:color w:val="000000"/>
          <w:spacing w:val="0"/>
          <w:w w:val="100"/>
          <w:sz w:val="32"/>
          <w:szCs w:val="32"/>
          <w:highlight w:val="none"/>
          <w:vertAlign w:val="baseline"/>
          <w:lang w:eastAsia="zh-CN"/>
        </w:rPr>
        <w:t>，确保完成粮食任务。做好春秋季重大动物疫情防控</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农村基础设施</w:t>
      </w:r>
      <w:r>
        <w:rPr>
          <w:rFonts w:hint="eastAsia" w:ascii="仿宋_GB2312" w:hAnsi="仿宋_GB2312" w:eastAsia="仿宋_GB2312" w:cs="仿宋_GB2312"/>
          <w:sz w:val="32"/>
          <w:szCs w:val="32"/>
          <w:lang w:eastAsia="zh-CN"/>
        </w:rPr>
        <w:t>更加完善，</w:t>
      </w:r>
      <w:r>
        <w:rPr>
          <w:rFonts w:hint="eastAsia" w:ascii="仿宋_GB2312" w:hAnsi="仿宋_GB2312" w:eastAsia="仿宋_GB2312" w:cs="仿宋_GB2312"/>
          <w:sz w:val="32"/>
          <w:szCs w:val="32"/>
          <w:lang w:val="en-US" w:eastAsia="zh-CN"/>
        </w:rPr>
        <w:t>加大对农村基础设施投入，突出</w:t>
      </w:r>
      <w:r>
        <w:rPr>
          <w:rFonts w:hint="eastAsia" w:ascii="仿宋_GB2312" w:hAnsi="仿宋_GB2312" w:eastAsia="仿宋_GB2312" w:cs="仿宋_GB2312"/>
          <w:sz w:val="32"/>
          <w:szCs w:val="32"/>
        </w:rPr>
        <w:t>抓好</w:t>
      </w:r>
      <w:r>
        <w:rPr>
          <w:rFonts w:hint="eastAsia" w:ascii="仿宋_GB2312" w:hAnsi="仿宋_GB2312" w:eastAsia="仿宋_GB2312" w:cs="仿宋_GB2312"/>
          <w:sz w:val="32"/>
          <w:szCs w:val="32"/>
          <w:lang w:val="en-US" w:eastAsia="zh-CN"/>
        </w:rPr>
        <w:t>乡村道路、污水治理、</w:t>
      </w:r>
      <w:r>
        <w:rPr>
          <w:rFonts w:hint="eastAsia" w:ascii="仿宋_GB2312" w:hAnsi="仿宋_GB2312" w:eastAsia="仿宋_GB2312" w:cs="仿宋_GB2312"/>
          <w:sz w:val="32"/>
          <w:szCs w:val="32"/>
        </w:rPr>
        <w:t>农村垃圾处理基础设施建设，</w:t>
      </w:r>
      <w:r>
        <w:rPr>
          <w:rFonts w:hint="eastAsia" w:ascii="仿宋_GB2312" w:hAnsi="仿宋_GB2312" w:eastAsia="仿宋_GB2312" w:cs="仿宋_GB2312"/>
          <w:sz w:val="32"/>
          <w:szCs w:val="32"/>
          <w:lang w:val="en-US" w:eastAsia="zh-CN"/>
        </w:rPr>
        <w:t>持续开展人居环境整治，不断提升城郊居</w:t>
      </w:r>
      <w:r>
        <w:rPr>
          <w:rFonts w:hint="eastAsia" w:ascii="仿宋_GB2312" w:hAnsi="仿宋_GB2312" w:eastAsia="仿宋_GB2312" w:cs="仿宋_GB2312"/>
          <w:sz w:val="32"/>
          <w:szCs w:val="32"/>
        </w:rPr>
        <w:t>民群众的获得感、幸福感和安全感。</w:t>
      </w: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b w:val="0"/>
          <w:bCs w:val="0"/>
          <w:i w:val="0"/>
          <w:iCs w:val="0"/>
          <w:color w:val="auto"/>
          <w:spacing w:val="0"/>
          <w:w w:val="100"/>
          <w:sz w:val="32"/>
          <w:szCs w:val="32"/>
          <w:highlight w:val="none"/>
          <w:vertAlign w:val="baseline"/>
          <w:lang w:val="en-US" w:eastAsia="zh-CN"/>
        </w:rPr>
        <w:t>全力推进河长制，</w:t>
      </w:r>
      <w:r>
        <w:rPr>
          <w:rFonts w:hint="eastAsia" w:ascii="仿宋_GB2312" w:hAnsi="仿宋_GB2312" w:eastAsia="仿宋_GB2312" w:cs="仿宋_GB2312"/>
          <w:b w:val="0"/>
          <w:bCs w:val="0"/>
          <w:i w:val="0"/>
          <w:iCs w:val="0"/>
          <w:color w:val="auto"/>
          <w:spacing w:val="0"/>
          <w:w w:val="100"/>
          <w:sz w:val="32"/>
          <w:szCs w:val="32"/>
          <w:highlight w:val="none"/>
          <w:vertAlign w:val="baseline"/>
        </w:rPr>
        <w:t>常态化开展“河道四乱”清理整治，严厉整治河道“四乱”问题。</w:t>
      </w:r>
      <w:r>
        <w:rPr>
          <w:rFonts w:hint="eastAsia" w:ascii="仿宋_GB2312" w:hAnsi="仿宋_GB2312" w:eastAsia="仿宋_GB2312" w:cs="仿宋_GB2312"/>
          <w:b w:val="0"/>
          <w:bCs w:val="0"/>
          <w:i w:val="0"/>
          <w:iCs w:val="0"/>
          <w:color w:val="auto"/>
          <w:spacing w:val="0"/>
          <w:w w:val="100"/>
          <w:sz w:val="32"/>
          <w:szCs w:val="32"/>
          <w:highlight w:val="none"/>
          <w:vertAlign w:val="baseline"/>
          <w:lang w:eastAsia="zh-CN"/>
        </w:rPr>
        <w:t>完成石津干渠幸福河湖创建。做好河道防汛工作，确保安全度汛</w:t>
      </w:r>
      <w:r>
        <w:rPr>
          <w:rFonts w:hint="eastAsia" w:ascii="仿宋_GB2312" w:hAnsi="仿宋_GB2312" w:eastAsia="仿宋_GB2312" w:cs="仿宋_GB2312"/>
          <w:sz w:val="32"/>
          <w:szCs w:val="32"/>
          <w:lang w:val="en-US" w:eastAsia="zh-CN"/>
        </w:rPr>
        <w:t>。四是</w:t>
      </w:r>
      <w:r>
        <w:rPr>
          <w:rFonts w:hint="eastAsia" w:ascii="仿宋_GB2312" w:hAnsi="仿宋_GB2312" w:eastAsia="仿宋_GB2312" w:cs="仿宋_GB2312"/>
          <w:b w:val="0"/>
          <w:bCs w:val="0"/>
          <w:i w:val="0"/>
          <w:iCs w:val="0"/>
          <w:color w:val="auto"/>
          <w:spacing w:val="0"/>
          <w:w w:val="100"/>
          <w:sz w:val="32"/>
          <w:szCs w:val="32"/>
          <w:highlight w:val="none"/>
          <w:vertAlign w:val="baseline"/>
          <w:lang w:val="en-US" w:eastAsia="zh-CN"/>
        </w:rPr>
        <w:t>持续推进自备井关停，</w:t>
      </w:r>
      <w:r>
        <w:rPr>
          <w:rStyle w:val="25"/>
          <w:rFonts w:hint="eastAsia" w:ascii="仿宋_GB2312" w:hAnsi="仿宋_GB2312" w:eastAsia="仿宋_GB2312" w:cs="仿宋_GB2312"/>
          <w:b w:val="0"/>
          <w:bCs w:val="0"/>
          <w:i w:val="0"/>
          <w:caps w:val="0"/>
          <w:spacing w:val="0"/>
          <w:w w:val="100"/>
          <w:kern w:val="2"/>
          <w:sz w:val="32"/>
          <w:szCs w:val="32"/>
          <w:highlight w:val="none"/>
          <w:lang w:val="en-US" w:eastAsia="zh-CN"/>
        </w:rPr>
        <w:t>定期开展“</w:t>
      </w:r>
      <w:r>
        <w:rPr>
          <w:rFonts w:hint="eastAsia" w:ascii="仿宋_GB2312" w:hAnsi="仿宋_GB2312" w:eastAsia="仿宋_GB2312" w:cs="仿宋_GB2312"/>
          <w:b w:val="0"/>
          <w:bCs w:val="0"/>
          <w:i w:val="0"/>
          <w:iCs w:val="0"/>
          <w:color w:val="auto"/>
          <w:spacing w:val="0"/>
          <w:w w:val="100"/>
          <w:sz w:val="32"/>
          <w:szCs w:val="32"/>
          <w:highlight w:val="none"/>
          <w:vertAlign w:val="baseline"/>
          <w:lang w:val="en-US" w:eastAsia="zh-CN"/>
        </w:rPr>
        <w:t>回头看”，严查严管明关暗用、停而复用等行为。</w:t>
      </w:r>
      <w:r>
        <w:rPr>
          <w:rFonts w:hint="eastAsia" w:ascii="仿宋_GB2312" w:hAnsi="仿宋_GB2312" w:eastAsia="仿宋_GB2312" w:cs="仿宋_GB2312"/>
          <w:sz w:val="32"/>
          <w:szCs w:val="32"/>
          <w:lang w:val="en-US" w:eastAsia="zh-CN"/>
        </w:rPr>
        <w:t>五是全面落实林长制，提长各级林长履职率，</w:t>
      </w:r>
      <w:r>
        <w:rPr>
          <w:rFonts w:hint="eastAsia" w:ascii="仿宋_GB2312" w:hAnsi="仿宋_GB2312" w:eastAsia="仿宋_GB2312" w:cs="仿宋_GB2312"/>
          <w:b w:val="0"/>
          <w:bCs w:val="0"/>
          <w:i w:val="0"/>
          <w:iCs w:val="0"/>
          <w:color w:val="auto"/>
          <w:spacing w:val="0"/>
          <w:w w:val="100"/>
          <w:sz w:val="32"/>
          <w:szCs w:val="32"/>
          <w:highlight w:val="none"/>
          <w:vertAlign w:val="baseline"/>
          <w:lang w:val="en-US" w:eastAsia="zh-CN"/>
        </w:rPr>
        <w:t>持续</w:t>
      </w:r>
      <w:r>
        <w:rPr>
          <w:rFonts w:hint="eastAsia" w:ascii="仿宋_GB2312" w:hAnsi="仿宋_GB2312" w:eastAsia="仿宋_GB2312" w:cs="仿宋_GB2312"/>
          <w:b w:val="0"/>
          <w:bCs w:val="0"/>
          <w:i w:val="0"/>
          <w:iCs w:val="0"/>
          <w:color w:val="auto"/>
          <w:spacing w:val="0"/>
          <w:w w:val="100"/>
          <w:sz w:val="32"/>
          <w:szCs w:val="32"/>
          <w:highlight w:val="none"/>
          <w:vertAlign w:val="baseline"/>
        </w:rPr>
        <w:t>开展湿地保护</w:t>
      </w:r>
      <w:r>
        <w:rPr>
          <w:rFonts w:hint="eastAsia" w:ascii="仿宋_GB2312" w:hAnsi="仿宋_GB2312" w:eastAsia="仿宋_GB2312" w:cs="仿宋_GB2312"/>
          <w:b w:val="0"/>
          <w:bCs w:val="0"/>
          <w:i w:val="0"/>
          <w:iCs w:val="0"/>
          <w:color w:val="auto"/>
          <w:spacing w:val="0"/>
          <w:w w:val="100"/>
          <w:sz w:val="32"/>
          <w:szCs w:val="32"/>
          <w:highlight w:val="none"/>
          <w:vertAlign w:val="baseline"/>
          <w:lang w:eastAsia="zh-CN"/>
        </w:rPr>
        <w:t>宣传和</w:t>
      </w:r>
      <w:r>
        <w:rPr>
          <w:rFonts w:hint="eastAsia" w:ascii="仿宋_GB2312" w:hAnsi="仿宋_GB2312" w:eastAsia="仿宋_GB2312" w:cs="仿宋_GB2312"/>
          <w:b w:val="0"/>
          <w:bCs w:val="0"/>
          <w:i w:val="0"/>
          <w:iCs w:val="0"/>
          <w:color w:val="auto"/>
          <w:spacing w:val="0"/>
          <w:w w:val="100"/>
          <w:sz w:val="32"/>
          <w:szCs w:val="32"/>
          <w:highlight w:val="none"/>
          <w:vertAlign w:val="baseline"/>
        </w:rPr>
        <w:t>巡查工作，做好候鸟迁徙等野生动物保护工作。</w:t>
      </w:r>
      <w:r>
        <w:rPr>
          <w:rFonts w:hint="eastAsia" w:ascii="仿宋_GB2312" w:hAnsi="仿宋_GB2312" w:eastAsia="仿宋_GB2312" w:cs="仿宋_GB2312"/>
          <w:b w:val="0"/>
          <w:bCs w:val="0"/>
          <w:i w:val="0"/>
          <w:iCs w:val="0"/>
          <w:color w:val="auto"/>
          <w:spacing w:val="0"/>
          <w:w w:val="100"/>
          <w:sz w:val="32"/>
          <w:szCs w:val="32"/>
          <w:highlight w:val="none"/>
          <w:vertAlign w:val="baseline"/>
          <w:lang w:eastAsia="zh-CN"/>
        </w:rPr>
        <w:t>六是加强村转社区集体“三资”规范化管理，盘活集体资产，壮大集体经济。七是</w:t>
      </w:r>
      <w:r>
        <w:rPr>
          <w:rFonts w:hint="eastAsia" w:ascii="仿宋_GB2312" w:hAnsi="仿宋_GB2312" w:eastAsia="仿宋_GB2312" w:cs="仿宋_GB2312"/>
          <w:b w:val="0"/>
          <w:bCs w:val="0"/>
          <w:i w:val="0"/>
          <w:iCs w:val="0"/>
          <w:color w:val="auto"/>
          <w:spacing w:val="0"/>
          <w:w w:val="100"/>
          <w:sz w:val="32"/>
          <w:szCs w:val="32"/>
          <w:highlight w:val="none"/>
          <w:vertAlign w:val="baseline"/>
        </w:rPr>
        <w:t>做好区域性结对帮扶易县工作</w:t>
      </w:r>
      <w:r>
        <w:rPr>
          <w:rFonts w:hint="eastAsia" w:ascii="仿宋_GB2312" w:hAnsi="仿宋_GB2312" w:eastAsia="仿宋_GB2312" w:cs="仿宋_GB2312"/>
          <w:sz w:val="32"/>
          <w:szCs w:val="32"/>
          <w:lang w:val="zh-CN" w:eastAsia="zh-CN"/>
        </w:rPr>
        <w:t>。</w:t>
      </w:r>
    </w:p>
    <w:p>
      <w:pPr>
        <w:widowControl w:val="0"/>
        <w:wordWrap/>
        <w:adjustRightInd w:val="0"/>
        <w:snapToGrid w:val="0"/>
        <w:spacing w:line="560" w:lineRule="exact"/>
        <w:ind w:right="0"/>
        <w:jc w:val="center"/>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部门整体支出绩效指标情况</w:t>
      </w:r>
    </w:p>
    <w:tbl>
      <w:tblPr>
        <w:tblStyle w:val="7"/>
        <w:tblpPr w:leftFromText="180" w:rightFromText="180" w:vertAnchor="text" w:horzAnchor="page" w:tblpXSpec="center" w:tblpY="593"/>
        <w:tblOverlap w:val="never"/>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1200"/>
        <w:gridCol w:w="1378"/>
        <w:gridCol w:w="2045"/>
        <w:gridCol w:w="1728"/>
        <w:gridCol w:w="877"/>
        <w:gridCol w:w="559"/>
        <w:gridCol w:w="927"/>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一级指标</w:t>
            </w:r>
          </w:p>
        </w:tc>
        <w:tc>
          <w:tcPr>
            <w:tcW w:w="120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二级指标</w:t>
            </w:r>
          </w:p>
        </w:tc>
        <w:tc>
          <w:tcPr>
            <w:tcW w:w="137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三级指标</w:t>
            </w:r>
          </w:p>
        </w:tc>
        <w:tc>
          <w:tcPr>
            <w:tcW w:w="204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绩效指标描述</w:t>
            </w:r>
          </w:p>
        </w:tc>
        <w:tc>
          <w:tcPr>
            <w:tcW w:w="172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评（扣）分标准</w:t>
            </w:r>
          </w:p>
        </w:tc>
        <w:tc>
          <w:tcPr>
            <w:tcW w:w="2363" w:type="dxa"/>
            <w:gridSpan w:val="3"/>
          </w:tcPr>
          <w:p>
            <w:pPr>
              <w:keepNext w:val="0"/>
              <w:keepLines w:val="0"/>
              <w:pageBreakBefore w:val="0"/>
              <w:widowControl w:val="0"/>
              <w:tabs>
                <w:tab w:val="left" w:pos="587"/>
              </w:tabs>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指标值</w:t>
            </w:r>
          </w:p>
        </w:tc>
        <w:tc>
          <w:tcPr>
            <w:tcW w:w="127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120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137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204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172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符号</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值</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单位（文字描述）</w:t>
            </w:r>
          </w:p>
        </w:tc>
        <w:tc>
          <w:tcPr>
            <w:tcW w:w="127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产出指标</w:t>
            </w: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sz w:val="21"/>
                <w:szCs w:val="21"/>
              </w:rPr>
              <w:t>数量指标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小麦玉米保险投保率</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小麦玉米投保面积占应投保面积的比率</w:t>
            </w:r>
          </w:p>
        </w:tc>
        <w:tc>
          <w:tcPr>
            <w:tcW w:w="1728" w:type="dxa"/>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≤80%为差；≥80%为中；≥90%为良；100%为优</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100</w:t>
            </w:r>
          </w:p>
        </w:tc>
        <w:tc>
          <w:tcPr>
            <w:tcW w:w="927" w:type="dxa"/>
            <w:vAlign w:val="center"/>
          </w:tcPr>
          <w:p>
            <w:pPr>
              <w:keepNext w:val="0"/>
              <w:keepLines w:val="0"/>
              <w:pageBreakBefore w:val="0"/>
              <w:widowControl w:val="0"/>
              <w:tabs>
                <w:tab w:val="left" w:pos="356"/>
              </w:tabs>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石家庄市农业保险工作实施方案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both"/>
              <w:textAlignment w:val="auto"/>
              <w:outlineLvl w:val="9"/>
              <w:rPr>
                <w:rFonts w:hint="eastAsia" w:ascii="仿宋_GB2312" w:hAnsi="仿宋_GB2312" w:eastAsia="仿宋_GB2312" w:cs="仿宋_GB2312"/>
                <w:b w:val="0"/>
                <w:bCs w:val="0"/>
                <w:sz w:val="21"/>
                <w:szCs w:val="21"/>
                <w:vertAlign w:val="baseline"/>
                <w:lang w:eastAsia="zh-CN"/>
              </w:rPr>
            </w:pP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sz w:val="21"/>
                <w:szCs w:val="21"/>
              </w:rPr>
              <w:t>数量指标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河长巡河率</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河长巡河次数占应巡河次数的比率</w:t>
            </w:r>
          </w:p>
        </w:tc>
        <w:tc>
          <w:tcPr>
            <w:tcW w:w="1728" w:type="dxa"/>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≤80%为差；≥80%为中；≥90%为良；100%为优</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100</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长办字[2017]23号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both"/>
              <w:textAlignment w:val="auto"/>
              <w:outlineLvl w:val="9"/>
              <w:rPr>
                <w:rFonts w:hint="eastAsia" w:ascii="仿宋_GB2312" w:hAnsi="仿宋_GB2312" w:eastAsia="仿宋_GB2312" w:cs="仿宋_GB2312"/>
                <w:b w:val="0"/>
                <w:bCs w:val="0"/>
                <w:sz w:val="21"/>
                <w:szCs w:val="21"/>
                <w:vertAlign w:val="baseline"/>
                <w:lang w:eastAsia="zh-CN"/>
              </w:rPr>
            </w:pP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质量指标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重大动物疫病强制免疫免疫率</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免疫畜禽数占应免畜禽的比率</w:t>
            </w:r>
          </w:p>
        </w:tc>
        <w:tc>
          <w:tcPr>
            <w:tcW w:w="172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≤80%为差；≥80%为中；≥90%为良；100%为优</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100</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石家庄市防治重大动物疫病指挥部办公室关于印发2018年全市重大动物疫病防控工作实施方案的通知（石重防办〔2018〕1号）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both"/>
              <w:textAlignment w:val="auto"/>
              <w:outlineLvl w:val="9"/>
              <w:rPr>
                <w:rFonts w:hint="eastAsia" w:ascii="仿宋_GB2312" w:hAnsi="仿宋_GB2312" w:eastAsia="仿宋_GB2312" w:cs="仿宋_GB2312"/>
                <w:b w:val="0"/>
                <w:bCs w:val="0"/>
                <w:sz w:val="21"/>
                <w:szCs w:val="21"/>
                <w:vertAlign w:val="baseline"/>
                <w:lang w:eastAsia="zh-CN"/>
              </w:rPr>
            </w:pP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时效指标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各项工作任务完成率</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按照自身职责分工确定的重点工作任务完成情况占全年计划的比率</w:t>
            </w:r>
          </w:p>
        </w:tc>
        <w:tc>
          <w:tcPr>
            <w:tcW w:w="172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≤80%为差；≥80%为中；≥90%为良；100%为优</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100</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rPr>
              <w:t>年度工作计划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ind w:right="0"/>
              <w:jc w:val="both"/>
              <w:textAlignment w:val="auto"/>
              <w:outlineLvl w:val="9"/>
              <w:rPr>
                <w:rFonts w:hint="eastAsia" w:ascii="仿宋_GB2312" w:hAnsi="仿宋_GB2312" w:eastAsia="仿宋_GB2312" w:cs="仿宋_GB2312"/>
                <w:b w:val="0"/>
                <w:bCs w:val="0"/>
                <w:sz w:val="21"/>
                <w:szCs w:val="21"/>
                <w:vertAlign w:val="baseline"/>
                <w:lang w:eastAsia="zh-CN"/>
              </w:rPr>
            </w:pP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成本指标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补贴发放率</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补贴发放完成率</w:t>
            </w:r>
          </w:p>
        </w:tc>
        <w:tc>
          <w:tcPr>
            <w:tcW w:w="172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≤80%为差；≥80%为中；≥90%为良；100%为优</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100</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rPr>
              <w:t>年度工作计划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效益指标</w:t>
            </w: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社会效益指标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不发生重大动物疫情事故</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防止不发生重大动物疫情事故</w:t>
            </w:r>
          </w:p>
        </w:tc>
        <w:tc>
          <w:tcPr>
            <w:tcW w:w="172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0次为优；1次为良；≥2次为差</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文字描述</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不发生重大动物疫情事故</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rPr>
              <w:t>年度工作计划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服务对象满意度指标</w:t>
            </w:r>
          </w:p>
        </w:tc>
        <w:tc>
          <w:tcPr>
            <w:tcW w:w="120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服务对象满意度指标</w:t>
            </w:r>
          </w:p>
        </w:tc>
        <w:tc>
          <w:tcPr>
            <w:tcW w:w="13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服务对象满意度</w:t>
            </w:r>
          </w:p>
        </w:tc>
        <w:tc>
          <w:tcPr>
            <w:tcW w:w="20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对服务对象进行满意度调查情况</w:t>
            </w:r>
          </w:p>
        </w:tc>
        <w:tc>
          <w:tcPr>
            <w:tcW w:w="172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实际调查情况</w:t>
            </w:r>
          </w:p>
        </w:tc>
        <w:tc>
          <w:tcPr>
            <w:tcW w:w="87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rPr>
              <w:t>≥</w:t>
            </w:r>
          </w:p>
        </w:tc>
        <w:tc>
          <w:tcPr>
            <w:tcW w:w="55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90</w:t>
            </w:r>
          </w:p>
        </w:tc>
        <w:tc>
          <w:tcPr>
            <w:tcW w:w="92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center"/>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val="en-US" w:eastAsia="zh-CN"/>
              </w:rPr>
              <w:t>%</w:t>
            </w:r>
          </w:p>
        </w:tc>
        <w:tc>
          <w:tcPr>
            <w:tcW w:w="127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jc w:val="left"/>
              <w:textAlignment w:val="auto"/>
              <w:outlineLvl w:val="9"/>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rPr>
              <w:t>年度工作计划</w:t>
            </w:r>
          </w:p>
        </w:tc>
      </w:tr>
    </w:tbl>
    <w:p>
      <w:pPr>
        <w:widowControl w:val="0"/>
        <w:wordWrap/>
        <w:adjustRightInd w:val="0"/>
        <w:snapToGrid w:val="0"/>
        <w:spacing w:line="560" w:lineRule="exact"/>
        <w:ind w:right="0"/>
        <w:jc w:val="both"/>
        <w:textAlignment w:val="auto"/>
        <w:outlineLvl w:val="9"/>
        <w:rPr>
          <w:rFonts w:hint="eastAsia" w:ascii="仿宋_GB2312" w:hAnsi="仿宋_GB2312" w:eastAsia="仿宋_GB2312" w:cs="仿宋_GB2312"/>
          <w:b w:val="0"/>
          <w:bCs w:val="0"/>
          <w:sz w:val="32"/>
          <w:szCs w:val="32"/>
          <w:lang w:eastAsia="zh-CN"/>
        </w:rPr>
      </w:pPr>
    </w:p>
    <w:p>
      <w:pPr>
        <w:widowControl w:val="0"/>
        <w:wordWrap/>
        <w:adjustRightInd w:val="0"/>
        <w:snapToGrid w:val="0"/>
        <w:spacing w:line="560" w:lineRule="exact"/>
        <w:ind w:left="0" w:leftChars="0" w:right="0" w:firstLine="640" w:firstLineChars="200"/>
        <w:textAlignment w:val="auto"/>
        <w:outlineLvl w:val="9"/>
        <w:rPr>
          <w:rFonts w:ascii="黑体" w:hAnsi="黑体" w:eastAsia="黑体"/>
          <w:b w:val="0"/>
          <w:bCs w:val="0"/>
          <w:sz w:val="32"/>
          <w:szCs w:val="32"/>
        </w:rPr>
      </w:pPr>
      <w:r>
        <w:rPr>
          <w:rFonts w:hint="eastAsia" w:ascii="黑体" w:hAnsi="黑体" w:eastAsia="黑体"/>
          <w:b w:val="0"/>
          <w:bCs w:val="0"/>
          <w:sz w:val="32"/>
          <w:szCs w:val="32"/>
        </w:rPr>
        <w:t>二、自评工作</w:t>
      </w:r>
      <w:r>
        <w:rPr>
          <w:rFonts w:hint="eastAsia" w:ascii="黑体" w:hAnsi="黑体" w:eastAsia="黑体"/>
          <w:b w:val="0"/>
          <w:bCs w:val="0"/>
          <w:sz w:val="32"/>
          <w:szCs w:val="32"/>
          <w:lang w:eastAsia="zh-CN"/>
        </w:rPr>
        <w:t>开展</w:t>
      </w:r>
      <w:r>
        <w:rPr>
          <w:rFonts w:hint="eastAsia" w:ascii="黑体" w:hAnsi="黑体" w:eastAsia="黑体"/>
          <w:b w:val="0"/>
          <w:bCs w:val="0"/>
          <w:sz w:val="32"/>
          <w:szCs w:val="32"/>
        </w:rPr>
        <w:t>情况</w:t>
      </w:r>
    </w:p>
    <w:p>
      <w:pPr>
        <w:widowControl w:val="0"/>
        <w:wordWrap/>
        <w:spacing w:line="560" w:lineRule="exact"/>
        <w:ind w:left="0" w:leftChars="0" w:right="0"/>
        <w:textAlignment w:val="auto"/>
        <w:outlineLvl w:val="9"/>
        <w:rPr>
          <w:rFonts w:hint="eastAsia" w:ascii="楷体" w:hAnsi="楷体" w:eastAsia="楷体"/>
          <w:bCs/>
          <w:sz w:val="32"/>
          <w:szCs w:val="32"/>
          <w:lang w:eastAsia="zh-CN"/>
        </w:rPr>
      </w:pPr>
      <w:r>
        <w:rPr>
          <w:rFonts w:hint="eastAsia" w:ascii="仿宋" w:hAnsi="仿宋" w:eastAsia="仿宋"/>
          <w:b w:val="0"/>
          <w:bCs w:val="0"/>
          <w:sz w:val="30"/>
          <w:szCs w:val="30"/>
        </w:rPr>
        <w:t xml:space="preserve">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eastAsia="zh-CN"/>
        </w:rPr>
        <w:t>（一）自评的组织工作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区财政局通知要求，我局高度重视此项工作，成立了由分管领导任组长，财务人员及相关业务股室股长为成员的绩效自评工作领导小组，财务室负责此次绩效自评的牵头组织、审核、汇总，各相关股室负责所管理项目的绩效自评。</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3" w:firstLineChars="200"/>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（二）自评的方法和过程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评价工作先由项目涉及的业务股室按照要求对项目进行自评打分；然后由评价小组本着公平公正、科学规范的原则，对业务股室上报的相关材料进行审查、复核和测评，最终形成上报项目自评表和自评报告。</w:t>
      </w:r>
    </w:p>
    <w:p>
      <w:pPr>
        <w:widowControl w:val="0"/>
        <w:numPr>
          <w:ilvl w:val="0"/>
          <w:numId w:val="2"/>
        </w:numPr>
        <w:wordWrap/>
        <w:spacing w:line="560" w:lineRule="exact"/>
        <w:ind w:left="800" w:leftChars="0" w:right="0" w:firstLine="0" w:firstLineChars="0"/>
        <w:textAlignment w:val="auto"/>
        <w:outlineLvl w:val="9"/>
        <w:rPr>
          <w:rFonts w:hint="eastAsia" w:ascii="黑体" w:hAnsi="黑体" w:eastAsia="黑体"/>
          <w:b w:val="0"/>
          <w:bCs w:val="0"/>
          <w:sz w:val="32"/>
          <w:szCs w:val="32"/>
          <w:highlight w:val="none"/>
          <w:lang w:eastAsia="zh-CN"/>
        </w:rPr>
      </w:pPr>
      <w:r>
        <w:rPr>
          <w:rFonts w:hint="eastAsia" w:ascii="黑体" w:hAnsi="黑体" w:eastAsia="黑体"/>
          <w:b w:val="0"/>
          <w:bCs w:val="0"/>
          <w:sz w:val="32"/>
          <w:szCs w:val="32"/>
          <w:highlight w:val="none"/>
          <w:lang w:eastAsia="zh-CN"/>
        </w:rPr>
        <w:t>部门整体支出</w:t>
      </w:r>
      <w:r>
        <w:rPr>
          <w:rFonts w:hint="eastAsia" w:ascii="黑体" w:hAnsi="黑体" w:eastAsia="黑体"/>
          <w:b w:val="0"/>
          <w:bCs w:val="0"/>
          <w:sz w:val="32"/>
          <w:szCs w:val="32"/>
          <w:highlight w:val="none"/>
        </w:rPr>
        <w:t>绩效</w:t>
      </w:r>
      <w:r>
        <w:rPr>
          <w:rFonts w:hint="eastAsia" w:ascii="黑体" w:hAnsi="黑体" w:eastAsia="黑体"/>
          <w:b w:val="0"/>
          <w:bCs w:val="0"/>
          <w:sz w:val="32"/>
          <w:szCs w:val="32"/>
          <w:highlight w:val="none"/>
          <w:lang w:eastAsia="zh-CN"/>
        </w:rPr>
        <w:t>目标实现情况及指标分析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3" w:firstLineChars="200"/>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（一）总体绩效目标实现情况</w:t>
      </w:r>
    </w:p>
    <w:p>
      <w:pPr>
        <w:pStyle w:val="5"/>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今年以来，我局按照年初既定的任务目标，紧紧围绕习近平对“三农”工作的批示精神</w:t>
      </w:r>
      <w:r>
        <w:rPr>
          <w:rFonts w:hint="eastAsia" w:ascii="仿宋_GB2312" w:hAnsi="仿宋_GB2312" w:eastAsia="仿宋_GB2312" w:cs="仿宋_GB2312"/>
          <w:b w:val="0"/>
          <w:bCs w:val="0"/>
          <w:sz w:val="32"/>
          <w:szCs w:val="32"/>
        </w:rPr>
        <w:t>为指导,认真贯彻落实中央、省委、市委农村工作会议精神,</w:t>
      </w:r>
      <w:r>
        <w:rPr>
          <w:rFonts w:hint="eastAsia" w:ascii="仿宋_GB2312" w:hAnsi="仿宋_GB2312" w:eastAsia="仿宋_GB2312" w:cs="仿宋_GB2312"/>
          <w:b w:val="0"/>
          <w:bCs w:val="0"/>
          <w:sz w:val="32"/>
          <w:szCs w:val="32"/>
          <w:lang w:eastAsia="zh-CN"/>
        </w:rPr>
        <w:t>以推进乡村振兴为中心，不断提升业务水平。</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数量指标:对小麦玉米保险投保率100%，</w:t>
      </w:r>
      <w:r>
        <w:rPr>
          <w:rFonts w:hint="eastAsia" w:ascii="仿宋_GB2312" w:hAnsi="仿宋_GB2312" w:eastAsia="仿宋_GB2312" w:cs="仿宋_GB2312"/>
          <w:b w:val="0"/>
          <w:bCs w:val="0"/>
          <w:sz w:val="32"/>
          <w:szCs w:val="32"/>
        </w:rPr>
        <w:t>及时准确报告农业灾情，组织指导紧急救灾和灾后生产恢复，组织农业保险赔付。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河长制工作</w:t>
      </w:r>
      <w:r>
        <w:rPr>
          <w:rFonts w:hint="eastAsia" w:ascii="仿宋_GB2312" w:hAnsi="仿宋_GB2312" w:eastAsia="仿宋_GB2312" w:cs="仿宋_GB2312"/>
          <w:b w:val="0"/>
          <w:bCs w:val="0"/>
          <w:sz w:val="32"/>
          <w:szCs w:val="32"/>
          <w:lang w:eastAsia="zh-CN"/>
        </w:rPr>
        <w:t>中，</w:t>
      </w:r>
      <w:r>
        <w:rPr>
          <w:rFonts w:hint="default" w:ascii="Times New Roman" w:hAnsi="Times New Roman" w:eastAsia="仿宋_GB2312" w:cs="Times New Roman"/>
          <w:kern w:val="2"/>
          <w:sz w:val="32"/>
          <w:szCs w:val="32"/>
          <w:highlight w:val="none"/>
          <w:u w:val="none"/>
          <w:lang w:val="en-US" w:eastAsia="zh-CN" w:bidi="ar-SA"/>
        </w:rPr>
        <w:t>1-10月三级河长巡河按要求完成全部巡河任务，其中区级河长30次，镇级河长550次，村级河长4186次，下发河道问题整改督办函3次。开展“春季清河，守护幸福河湖”集中整治行动，清理河道沿线垃圾700余立方米。</w:t>
      </w:r>
      <w:r>
        <w:rPr>
          <w:rFonts w:hint="eastAsia" w:ascii="仿宋_GB2312" w:hAnsi="仿宋_GB2312" w:eastAsia="仿宋_GB2312" w:cs="仿宋_GB2312"/>
          <w:b w:val="0"/>
          <w:bCs w:val="0"/>
          <w:sz w:val="32"/>
          <w:szCs w:val="32"/>
          <w:lang w:val="en-US" w:eastAsia="zh-CN"/>
        </w:rPr>
        <w:t>原乡镇(公社)农机员农技员基层兽医发放生活补贴、</w:t>
      </w:r>
      <w:r>
        <w:rPr>
          <w:rFonts w:hint="eastAsia" w:ascii="仿宋_GB2312" w:hAnsi="仿宋_GB2312" w:eastAsia="仿宋_GB2312" w:cs="仿宋_GB2312"/>
          <w:b w:val="0"/>
          <w:bCs w:val="0"/>
          <w:color w:val="000000"/>
          <w:sz w:val="32"/>
          <w:szCs w:val="32"/>
        </w:rPr>
        <w:t>村级防疫员补贴发放完成率</w:t>
      </w:r>
      <w:r>
        <w:rPr>
          <w:rFonts w:hint="eastAsia" w:ascii="仿宋_GB2312" w:hAnsi="仿宋_GB2312" w:eastAsia="仿宋_GB2312" w:cs="仿宋_GB2312"/>
          <w:b w:val="0"/>
          <w:bCs w:val="0"/>
          <w:color w:val="000000"/>
          <w:sz w:val="32"/>
          <w:szCs w:val="32"/>
          <w:lang w:val="en-US" w:eastAsia="zh-CN"/>
        </w:rPr>
        <w:t>100%，</w:t>
      </w:r>
      <w:r>
        <w:rPr>
          <w:rFonts w:hint="default" w:ascii="Times New Roman" w:hAnsi="Times New Roman" w:eastAsia="仿宋_GB2312" w:cs="Times New Roman"/>
          <w:kern w:val="2"/>
          <w:sz w:val="32"/>
          <w:szCs w:val="32"/>
          <w:highlight w:val="none"/>
          <w:u w:val="none"/>
          <w:lang w:val="en-US" w:eastAsia="zh-CN" w:bidi="ar-SA"/>
        </w:rPr>
        <w:t>落实林长制，保护林业资源。完成桃园镇肖家营村和南村镇中塔口村7块违法占用林地植树复绿整改。1-9月，全区三级林长巡林19002次，超额完成2025年前三季度巡林任务。</w:t>
      </w:r>
      <w:r>
        <w:rPr>
          <w:rFonts w:hint="eastAsia" w:ascii="仿宋_GB2312" w:hAnsi="仿宋_GB2312" w:eastAsia="仿宋_GB2312" w:cs="仿宋_GB2312"/>
          <w:b w:val="0"/>
          <w:bCs w:val="0"/>
          <w:color w:val="000000"/>
          <w:sz w:val="32"/>
          <w:szCs w:val="32"/>
          <w:lang w:val="en-US" w:eastAsia="zh-CN"/>
        </w:rPr>
        <w:t>均</w:t>
      </w:r>
      <w:r>
        <w:rPr>
          <w:rFonts w:hint="eastAsia" w:ascii="仿宋_GB2312" w:hAnsi="仿宋_GB2312" w:eastAsia="仿宋_GB2312" w:cs="仿宋_GB2312"/>
          <w:b w:val="0"/>
          <w:bCs w:val="0"/>
          <w:sz w:val="32"/>
          <w:szCs w:val="32"/>
          <w:lang w:val="en-US" w:eastAsia="zh-CN"/>
        </w:rPr>
        <w:t>已完成预期指标。</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Times New Roman" w:hAnsi="Times New Roman" w:eastAsia="仿宋_GB2312" w:cs="Times New Roman"/>
          <w:kern w:val="2"/>
          <w:sz w:val="32"/>
          <w:szCs w:val="32"/>
          <w:highlight w:val="none"/>
          <w:u w:val="none"/>
          <w:lang w:val="en-US" w:eastAsia="zh-CN" w:bidi="ar-SA"/>
        </w:rPr>
        <w:t>质量指标:</w:t>
      </w:r>
      <w:r>
        <w:rPr>
          <w:rFonts w:hint="default" w:ascii="Times New Roman" w:hAnsi="Times New Roman" w:eastAsia="仿宋_GB2312" w:cs="Times New Roman"/>
          <w:kern w:val="2"/>
          <w:sz w:val="32"/>
          <w:szCs w:val="32"/>
          <w:highlight w:val="none"/>
          <w:u w:val="none"/>
          <w:lang w:val="en-US" w:eastAsia="zh-CN" w:bidi="ar-SA"/>
        </w:rPr>
        <w:t>加强动物强制免疫，确保畜产品安全。联合市农业农村局长安动检分所开展私屠乱宰专项整治，取缔违规生猪肉销售点11个。全力做好春秋季重大动物疫病防控，开展了动物强制免疫，秋季动物强制免疫加强补免一次。全年累计发放动物疫苗牛羊口蹄疫10000头份、小反刍9000头份、布病400头份、禽流感5000毫升、OA合成肽500头份，发放消毒药品1.21吨，经开展强免工作，全区未发生区域性重大动物疫情及各类常见多发病，确保了畜产品质量安全。</w:t>
      </w:r>
      <w:r>
        <w:rPr>
          <w:rFonts w:hint="eastAsia" w:ascii="仿宋_GB2312" w:hAnsi="仿宋_GB2312" w:eastAsia="仿宋_GB2312" w:cs="仿宋_GB2312"/>
          <w:b w:val="0"/>
          <w:bCs w:val="0"/>
          <w:sz w:val="32"/>
          <w:szCs w:val="32"/>
          <w:lang w:val="en-US" w:eastAsia="zh-CN"/>
        </w:rPr>
        <w:t>已完成预期指标。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3、时效指标:各项工作任务按照年度工作计划完成率90%以上，已完成预期指标。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4、成本指标:补贴发放完成率100%，已完成预期指标。</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效益</w:t>
      </w:r>
      <w:r>
        <w:rPr>
          <w:rFonts w:hint="eastAsia" w:ascii="仿宋_GB2312" w:hAnsi="仿宋_GB2312" w:eastAsia="仿宋_GB2312" w:cs="仿宋_GB2312"/>
          <w:b w:val="0"/>
          <w:bCs w:val="0"/>
          <w:sz w:val="32"/>
          <w:szCs w:val="32"/>
          <w:lang w:eastAsia="zh-CN"/>
        </w:rPr>
        <w:t>指</w:t>
      </w:r>
      <w:r>
        <w:rPr>
          <w:rFonts w:hint="eastAsia" w:ascii="仿宋_GB2312" w:hAnsi="仿宋_GB2312" w:eastAsia="仿宋_GB2312" w:cs="仿宋_GB2312"/>
          <w:b w:val="0"/>
          <w:bCs w:val="0"/>
          <w:sz w:val="32"/>
          <w:szCs w:val="32"/>
          <w:lang w:val="en-US" w:eastAsia="zh-CN"/>
        </w:rPr>
        <w:t>标：不发生重大动物疫情事故</w:t>
      </w:r>
      <w:r>
        <w:rPr>
          <w:rFonts w:hint="eastAsia" w:ascii="仿宋_GB2312" w:hAnsi="仿宋_GB2312" w:eastAsia="仿宋_GB2312" w:cs="仿宋_GB2312"/>
          <w:b w:val="0"/>
          <w:bCs w:val="0"/>
          <w:sz w:val="32"/>
          <w:szCs w:val="32"/>
          <w:vertAlign w:val="baseline"/>
          <w:lang w:eastAsia="zh-CN"/>
        </w:rPr>
        <w:t>，</w:t>
      </w:r>
      <w:r>
        <w:rPr>
          <w:rFonts w:hint="eastAsia" w:ascii="仿宋_GB2312" w:hAnsi="仿宋_GB2312" w:eastAsia="仿宋_GB2312" w:cs="仿宋_GB2312"/>
          <w:b w:val="0"/>
          <w:bCs w:val="0"/>
          <w:sz w:val="32"/>
          <w:szCs w:val="32"/>
          <w:lang w:val="en-US" w:eastAsia="zh-CN"/>
        </w:rPr>
        <w:t>0次为优，已完成预期指标</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满意度</w:t>
      </w:r>
      <w:r>
        <w:rPr>
          <w:rFonts w:hint="eastAsia" w:ascii="仿宋_GB2312" w:hAnsi="仿宋_GB2312" w:eastAsia="仿宋_GB2312" w:cs="仿宋_GB2312"/>
          <w:b w:val="0"/>
          <w:bCs w:val="0"/>
          <w:sz w:val="32"/>
          <w:szCs w:val="32"/>
          <w:lang w:eastAsia="zh-CN"/>
        </w:rPr>
        <w:t>指标</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通过对村镇、农业农村局走访和查看报表，深入领取补贴户家中走访调查，对发放程序、时间、金额进行核实，满意度达到</w:t>
      </w:r>
      <w:r>
        <w:rPr>
          <w:rFonts w:hint="eastAsia" w:ascii="仿宋_GB2312" w:hAnsi="仿宋_GB2312" w:eastAsia="仿宋_GB2312" w:cs="仿宋_GB2312"/>
          <w:b w:val="0"/>
          <w:bCs w:val="0"/>
          <w:sz w:val="32"/>
          <w:szCs w:val="32"/>
          <w:lang w:val="en-US" w:eastAsia="zh-CN"/>
        </w:rPr>
        <w:t>90%以上。</w:t>
      </w:r>
    </w:p>
    <w:p>
      <w:pPr>
        <w:widowControl w:val="0"/>
        <w:wordWrap/>
        <w:spacing w:line="560" w:lineRule="exact"/>
        <w:ind w:left="0" w:leftChars="0" w:right="0" w:firstLine="640"/>
        <w:textAlignment w:val="auto"/>
        <w:outlineLvl w:val="9"/>
        <w:rPr>
          <w:rFonts w:hint="eastAsia" w:ascii="仿宋_GB2312" w:hAnsi="仿宋_GB2312" w:eastAsia="仿宋_GB2312" w:cs="仿宋_GB2312"/>
          <w:b/>
          <w:bCs w:val="0"/>
          <w:sz w:val="32"/>
          <w:szCs w:val="32"/>
          <w:highlight w:val="none"/>
          <w:lang w:eastAsia="zh-CN"/>
        </w:rPr>
      </w:pPr>
      <w:r>
        <w:rPr>
          <w:rFonts w:hint="eastAsia" w:ascii="仿宋_GB2312" w:hAnsi="仿宋_GB2312" w:eastAsia="仿宋_GB2312" w:cs="仿宋_GB2312"/>
          <w:b/>
          <w:bCs w:val="0"/>
          <w:sz w:val="32"/>
          <w:szCs w:val="32"/>
        </w:rPr>
        <w:t>（二）</w:t>
      </w:r>
      <w:r>
        <w:rPr>
          <w:rFonts w:hint="eastAsia" w:ascii="仿宋_GB2312" w:hAnsi="仿宋_GB2312" w:eastAsia="仿宋_GB2312" w:cs="仿宋_GB2312"/>
          <w:b/>
          <w:bCs w:val="0"/>
          <w:sz w:val="32"/>
          <w:szCs w:val="32"/>
          <w:lang w:eastAsia="zh-CN"/>
        </w:rPr>
        <w:t>分项绩效目标实现情况及指标分析</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both"/>
        <w:textAlignment w:val="auto"/>
        <w:outlineLvl w:val="9"/>
        <w:rPr>
          <w:rFonts w:hint="eastAsia" w:ascii="仿宋_GB2312" w:hAnsi="仿宋_GB2312" w:eastAsia="仿宋_GB2312" w:cs="仿宋_GB2312"/>
          <w:b w:val="0"/>
          <w:bCs w:val="0"/>
          <w:spacing w:val="0"/>
          <w:kern w:val="0"/>
          <w:sz w:val="32"/>
          <w:szCs w:val="32"/>
          <w:lang w:val="en-US" w:eastAsia="zh-CN" w:bidi="ar"/>
        </w:rPr>
      </w:pPr>
      <w:r>
        <w:rPr>
          <w:rFonts w:hint="eastAsia" w:ascii="仿宋_GB2312" w:hAnsi="仿宋_GB2312" w:eastAsia="仿宋_GB2312" w:cs="仿宋_GB2312"/>
          <w:b w:val="0"/>
          <w:bCs w:val="0"/>
          <w:spacing w:val="0"/>
          <w:kern w:val="0"/>
          <w:sz w:val="32"/>
          <w:szCs w:val="32"/>
          <w:lang w:val="en-US" w:eastAsia="zh-CN" w:bidi="ar"/>
        </w:rPr>
        <w:t>1、多措并举，确保粮食丰产丰收。</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b w:val="0"/>
          <w:bCs w:val="0"/>
          <w:spacing w:val="0"/>
          <w:sz w:val="32"/>
          <w:szCs w:val="32"/>
          <w:lang w:val="en-US" w:eastAsia="zh-CN"/>
        </w:rPr>
        <w:t>现实完成情况：</w:t>
      </w:r>
      <w:r>
        <w:rPr>
          <w:rFonts w:hint="eastAsia" w:ascii="仿宋_GB2312" w:hAnsi="仿宋_GB2312" w:eastAsia="仿宋_GB2312" w:cs="仿宋_GB2312"/>
          <w:kern w:val="2"/>
          <w:sz w:val="32"/>
          <w:szCs w:val="32"/>
          <w:highlight w:val="none"/>
          <w:u w:val="none"/>
          <w:lang w:val="en-US" w:eastAsia="zh-CN" w:bidi="ar-SA"/>
        </w:rPr>
        <w:t>根据年初市政府下达全区3.8万亩，0.291亿斤粮食生产任务，压实镇村责任，分解到镇、到社区、到地块。备足化肥、农药等春耕物资266吨，落实“一喷三防”物化补贴，发放17875套。小麦种植业保险承保面积7420.71亩，参保农户2624户。开展日常巡查检查，杜绝“割青毁粮”发生。全力做好“三夏三秋”生产，全区粮食生产面积达3.81万亩，亩均产量达到460公斤以上，完成了全年粮食生产任务。目前，全区19家农资经营企业已储备秋耕物资300吨，确保我区冬小麦种足种好。</w:t>
      </w:r>
    </w:p>
    <w:p>
      <w:pPr>
        <w:pStyle w:val="27"/>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kern w:val="2"/>
          <w:sz w:val="32"/>
          <w:szCs w:val="32"/>
          <w:highlight w:val="none"/>
          <w:u w:val="none"/>
          <w:lang w:val="en-US" w:eastAsia="zh-CN" w:bidi="ar-SA"/>
        </w:rPr>
        <w:t>2、开展区域性结对帮扶，巩固脱贫攻坚成果</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kern w:val="0"/>
          <w:sz w:val="32"/>
          <w:szCs w:val="32"/>
          <w:u w:val="none"/>
          <w:lang w:val="en-US" w:eastAsia="zh-CN" w:bidi="ar-SA"/>
        </w:rPr>
      </w:pPr>
      <w:r>
        <w:rPr>
          <w:rFonts w:hint="eastAsia" w:ascii="仿宋_GB2312" w:hAnsi="仿宋_GB2312" w:eastAsia="仿宋_GB2312" w:cs="仿宋_GB2312"/>
          <w:b w:val="0"/>
          <w:bCs w:val="0"/>
          <w:spacing w:val="0"/>
          <w:sz w:val="32"/>
          <w:szCs w:val="32"/>
          <w:lang w:val="en-US" w:eastAsia="zh-CN"/>
        </w:rPr>
        <w:t>现实完成情况：</w:t>
      </w:r>
      <w:r>
        <w:rPr>
          <w:rFonts w:hint="eastAsia" w:ascii="仿宋_GB2312" w:hAnsi="仿宋_GB2312" w:eastAsia="仿宋_GB2312" w:cs="仿宋_GB2312"/>
          <w:kern w:val="2"/>
          <w:sz w:val="32"/>
          <w:szCs w:val="32"/>
          <w:highlight w:val="none"/>
          <w:u w:val="none"/>
          <w:lang w:val="en-US" w:eastAsia="zh-CN" w:bidi="ar-SA"/>
        </w:rPr>
        <w:t>组织召开长安区—易县消费帮扶农副产品宣传推介会，开展就业帮扶活动15次，其中，线上招聘活动13次，线下招聘会2场，提供就业岗位1889个，帮助41名脱贫劳动力就业。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3、加强基层监管，促进“三资”规范化管理</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b w:val="0"/>
          <w:bCs w:val="0"/>
          <w:spacing w:val="0"/>
          <w:sz w:val="32"/>
          <w:szCs w:val="32"/>
          <w:lang w:val="en-US" w:eastAsia="zh-CN"/>
        </w:rPr>
        <w:t>现实完成情况：</w:t>
      </w:r>
      <w:r>
        <w:rPr>
          <w:rFonts w:hint="eastAsia" w:ascii="仿宋_GB2312" w:hAnsi="仿宋_GB2312" w:eastAsia="仿宋_GB2312" w:cs="仿宋_GB2312"/>
          <w:kern w:val="2"/>
          <w:sz w:val="32"/>
          <w:szCs w:val="32"/>
          <w:highlight w:val="none"/>
          <w:u w:val="none"/>
          <w:lang w:val="en-US" w:eastAsia="zh-CN" w:bidi="ar-SA"/>
        </w:rPr>
        <w:t>按照省市部署，完成全区49个村转社区（含5个城市社区）集体经济组织资产清查，发现问题81个并全部整改。扎实推进财务公开，做到一季一安排一抽查，确保群众知情权、参与权和监督权。开展村级“两委”经济责任审计，制定印发《49个村转社区换届前经济责任审计工作方案》，协助区审计局做好被审单位名单核实、离任经责审计业务培训和政策指导等工作，确保审计顺利开展。经审计发现15个方面691条问题，现已整改完成623个，剩余68个问题属于历史遗留问题，正在督促镇街、村持续推进整改。强力推进集体资产信息化管理，以西古城社区为试点先行录入，分片举办2次省农村集体产权改革管理系统规范运行培训班，全面开展资产排查录入与合同比对，实现“平台外无资产、平台外无合同”，进一步提升了村集体“三资”监管水平。持续开展村级“三资”监管问题专项整治，截至目前，已上报区纪委监委“三资”监管问题292个，已整改问题287个，追回资金1674.29125万元，移交纪委监委问题线索30条。推进村级银行账户规范管理，强化资金监管力度。积极协调工商银行和平普数据有限公司，统一规范银行账户，从源头杜绝“多头开户、账户闲置”问题，实现村级资金“收支全流程可视、异常交易及时预警”智能化监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Style w:val="25"/>
          <w:rFonts w:hint="eastAsia" w:ascii="仿宋_GB2312" w:hAnsi="仿宋_GB2312" w:eastAsia="仿宋_GB2312" w:cs="仿宋_GB2312"/>
          <w:b w:val="0"/>
          <w:bCs w:val="0"/>
          <w:i w:val="0"/>
          <w:caps w:val="0"/>
          <w:spacing w:val="0"/>
          <w:w w:val="100"/>
          <w:kern w:val="2"/>
          <w:sz w:val="32"/>
          <w:szCs w:val="32"/>
          <w:lang w:val="en-US" w:eastAsia="zh-CN"/>
        </w:rPr>
      </w:pPr>
      <w:r>
        <w:rPr>
          <w:rStyle w:val="25"/>
          <w:rFonts w:hint="eastAsia" w:ascii="仿宋_GB2312" w:hAnsi="仿宋_GB2312" w:eastAsia="仿宋_GB2312" w:cs="仿宋_GB2312"/>
          <w:b w:val="0"/>
          <w:bCs w:val="0"/>
          <w:i w:val="0"/>
          <w:caps w:val="0"/>
          <w:spacing w:val="0"/>
          <w:w w:val="100"/>
          <w:kern w:val="2"/>
          <w:sz w:val="32"/>
          <w:szCs w:val="32"/>
          <w:lang w:val="en-US" w:eastAsia="zh-CN"/>
        </w:rPr>
        <w:t>4、</w:t>
      </w:r>
      <w:r>
        <w:rPr>
          <w:rFonts w:hint="eastAsia" w:ascii="仿宋_GB2312" w:hAnsi="仿宋_GB2312" w:eastAsia="仿宋_GB2312" w:cs="仿宋_GB2312"/>
          <w:b w:val="0"/>
          <w:bCs w:val="0"/>
          <w:kern w:val="0"/>
          <w:sz w:val="32"/>
          <w:szCs w:val="32"/>
          <w:u w:val="none"/>
          <w:lang w:val="en-US" w:eastAsia="zh-CN" w:bidi="ar-SA"/>
        </w:rPr>
        <w:t>强化督导检查，持续改善农村生态环境</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default" w:ascii="Times New Roman" w:hAnsi="Times New Roman" w:eastAsia="仿宋_GB2312" w:cs="Times New Roman"/>
          <w:kern w:val="2"/>
          <w:sz w:val="32"/>
          <w:szCs w:val="32"/>
          <w:highlight w:val="none"/>
          <w:u w:val="none"/>
          <w:lang w:val="en-US" w:eastAsia="zh-CN" w:bidi="ar-SA"/>
        </w:rPr>
      </w:pPr>
      <w:r>
        <w:rPr>
          <w:rFonts w:hint="eastAsia" w:ascii="仿宋_GB2312" w:hAnsi="仿宋_GB2312" w:eastAsia="仿宋_GB2312" w:cs="仿宋_GB2312"/>
          <w:b w:val="0"/>
          <w:bCs w:val="0"/>
          <w:spacing w:val="0"/>
          <w:sz w:val="32"/>
          <w:szCs w:val="32"/>
          <w:lang w:val="en-US" w:eastAsia="zh-CN"/>
        </w:rPr>
        <w:t>现实完成情况：</w:t>
      </w:r>
      <w:r>
        <w:rPr>
          <w:rFonts w:hint="eastAsia" w:ascii="仿宋_GB2312" w:hAnsi="仿宋_GB2312" w:eastAsia="仿宋_GB2312" w:cs="仿宋_GB2312"/>
          <w:b w:val="0"/>
          <w:bCs w:val="0"/>
          <w:kern w:val="2"/>
          <w:sz w:val="32"/>
          <w:szCs w:val="32"/>
          <w:highlight w:val="none"/>
          <w:u w:val="none"/>
          <w:lang w:val="en-US" w:eastAsia="zh-CN" w:bidi="ar-SA"/>
        </w:rPr>
        <w:t>成立督导检查专班，采取现场检查、无人机飞检等方式，持续开展农村垃圾问题督导检查。截至目前，累计出动督导检查人员88人次，整改垃圾问题103个，农村环境得到进一步改善。积极向上问计，争取市级专项资金50万元用于硬化南村镇大丰屯社区2条乡村道路，全长1142米，极大方便了村民生产生活和出行</w:t>
      </w:r>
      <w:r>
        <w:rPr>
          <w:rFonts w:hint="default" w:ascii="Times New Roman" w:hAnsi="Times New Roman" w:eastAsia="仿宋_GB2312" w:cs="Times New Roman"/>
          <w:kern w:val="2"/>
          <w:sz w:val="32"/>
          <w:szCs w:val="32"/>
          <w:highlight w:val="none"/>
          <w:u w:val="none"/>
          <w:lang w:val="en-US" w:eastAsia="zh-CN" w:bidi="ar-SA"/>
        </w:rPr>
        <w:t>。</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Style w:val="24"/>
          <w:rFonts w:hint="eastAsia" w:ascii="仿宋_GB2312" w:hAnsi="仿宋_GB2312" w:eastAsia="仿宋_GB2312" w:cs="仿宋_GB2312"/>
          <w:b w:val="0"/>
          <w:bCs w:val="0"/>
          <w:caps w:val="0"/>
          <w:color w:val="000000"/>
          <w:spacing w:val="0"/>
          <w:sz w:val="32"/>
          <w:szCs w:val="32"/>
          <w:lang w:val="en-US" w:eastAsia="zh-CN" w:bidi="ar"/>
        </w:rPr>
      </w:pPr>
      <w:r>
        <w:rPr>
          <w:rStyle w:val="25"/>
          <w:rFonts w:hint="eastAsia" w:ascii="仿宋_GB2312" w:hAnsi="仿宋_GB2312" w:eastAsia="仿宋_GB2312" w:cs="仿宋_GB2312"/>
          <w:b w:val="0"/>
          <w:bCs w:val="0"/>
          <w:i w:val="0"/>
          <w:caps w:val="0"/>
          <w:color w:val="auto"/>
          <w:spacing w:val="0"/>
          <w:w w:val="100"/>
          <w:kern w:val="2"/>
          <w:sz w:val="32"/>
          <w:szCs w:val="32"/>
          <w:lang w:val="en-US" w:eastAsia="zh-CN"/>
        </w:rPr>
        <w:t>5、</w:t>
      </w:r>
      <w:r>
        <w:rPr>
          <w:rFonts w:hint="eastAsia" w:ascii="仿宋_GB2312" w:hAnsi="仿宋_GB2312" w:eastAsia="仿宋_GB2312" w:cs="仿宋_GB2312"/>
          <w:b w:val="0"/>
          <w:bCs w:val="0"/>
          <w:kern w:val="0"/>
          <w:sz w:val="32"/>
          <w:szCs w:val="32"/>
          <w:u w:val="none"/>
          <w:lang w:val="en-US" w:eastAsia="zh-CN" w:bidi="ar-SA"/>
        </w:rPr>
        <w:t>落实河长制，持续推进水生态环境改善</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Style w:val="24"/>
          <w:rFonts w:hint="eastAsia" w:ascii="仿宋_GB2312" w:hAnsi="仿宋_GB2312" w:eastAsia="仿宋_GB2312" w:cs="仿宋_GB2312"/>
          <w:b w:val="0"/>
          <w:bCs w:val="0"/>
          <w:caps w:val="0"/>
          <w:color w:val="000000"/>
          <w:spacing w:val="0"/>
          <w:sz w:val="32"/>
          <w:szCs w:val="32"/>
          <w:lang w:val="en-US" w:eastAsia="zh-CN" w:bidi="ar"/>
        </w:rPr>
      </w:pPr>
      <w:r>
        <w:rPr>
          <w:rFonts w:hint="eastAsia" w:ascii="仿宋_GB2312" w:hAnsi="仿宋_GB2312" w:eastAsia="仿宋_GB2312" w:cs="仿宋_GB2312"/>
          <w:b w:val="0"/>
          <w:bCs w:val="0"/>
          <w:spacing w:val="0"/>
          <w:sz w:val="32"/>
          <w:szCs w:val="32"/>
          <w:lang w:eastAsia="zh-CN"/>
        </w:rPr>
        <w:t>实现完成情况：</w:t>
      </w:r>
      <w:r>
        <w:rPr>
          <w:rFonts w:hint="eastAsia" w:ascii="仿宋_GB2312" w:hAnsi="仿宋_GB2312" w:eastAsia="仿宋_GB2312" w:cs="仿宋_GB2312"/>
          <w:b w:val="0"/>
          <w:bCs w:val="0"/>
          <w:kern w:val="2"/>
          <w:sz w:val="32"/>
          <w:szCs w:val="32"/>
          <w:highlight w:val="none"/>
          <w:u w:val="none"/>
          <w:lang w:val="en-US" w:eastAsia="zh-CN" w:bidi="ar-SA"/>
        </w:rPr>
        <w:t>区级总河长签发2025年第1号总河长令，印发《长安区2025年度落实河长制重点工作推进方案》。组织3.22“世界水日”“中国水周”《国务院节约用水条例》《河北省防汛避险人员转移条例》等宣传活动，联合区教育局开展“防溺水”宣传进校园2次，在滹沱河6个漫水桥增设救生圈15个。组织各类公益组织、民间河长开展爱河护河公益活动30次。1-10月三级河长巡河按要求完成全部巡河任务，其中区级河长30次，镇级河长550次，村级河长4186次，下发河道问题整改督办函3次。开展“春季清河，守护幸福河湖”集中整治行动，清理河道沿线垃圾700余立方米。9月省市幸福河湖评价专家组完成对石津干渠长安区段自评估资料及现场的验收核查工作，达到河北省幸福河湖的五星级标准。开展石津干渠长安区段两岸违章建筑拆除、沥水口封堵、垃圾清理等综合整治，封堵沥水口8处、清理垃圾6处、拆除违建6处，受到省市水利部门、省人大代表充分肯定。协调石津干渠管理中心土贤庄管理处建设紫林湾社区、南五女社区石津干渠沿线高标准护栏1763米。强力推进自备井关停，争取上级地下水压采资金65万元，已关停自备井96眼。联合区检察院开展洗车店违规取用地下水专项整治行动，关停违规取水井2眼。修订完善《滹沱河防汛工作应急预案》《滹沱河河道超标洪水防御预案》，与市水利局及其滹沱河运维中心建立互通机制，实时掌握水情调度和流量，准确快速发布预警，截至目前，共转发《关于调整入滹沱河流量的通知》85次，实行24小时防汛值班制度，实现河道安全度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Style w:val="24"/>
          <w:rFonts w:hint="eastAsia" w:ascii="仿宋_GB2312" w:hAnsi="仿宋_GB2312" w:eastAsia="仿宋_GB2312" w:cs="仿宋_GB2312"/>
          <w:b w:val="0"/>
          <w:bCs w:val="0"/>
          <w:caps w:val="0"/>
          <w:color w:val="000000"/>
          <w:spacing w:val="0"/>
          <w:sz w:val="32"/>
          <w:szCs w:val="32"/>
          <w:lang w:val="en-US" w:eastAsia="zh-CN" w:bidi="ar"/>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kern w:val="0"/>
          <w:sz w:val="32"/>
          <w:szCs w:val="32"/>
          <w:u w:val="none"/>
          <w:lang w:val="en-US" w:eastAsia="zh-CN" w:bidi="ar-SA"/>
        </w:rPr>
        <w:t>加强动物强制免疫，确保畜产品安全</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default" w:ascii="Times New Roman" w:hAnsi="Times New Roman" w:eastAsia="仿宋_GB2312" w:cs="Times New Roman"/>
          <w:kern w:val="2"/>
          <w:sz w:val="32"/>
          <w:szCs w:val="32"/>
          <w:highlight w:val="none"/>
          <w:u w:val="none"/>
          <w:lang w:val="en-US" w:eastAsia="zh-CN" w:bidi="ar-SA"/>
        </w:rPr>
      </w:pPr>
      <w:r>
        <w:rPr>
          <w:rStyle w:val="24"/>
          <w:rFonts w:hint="eastAsia" w:ascii="仿宋_GB2312" w:hAnsi="仿宋_GB2312" w:eastAsia="仿宋_GB2312" w:cs="仿宋_GB2312"/>
          <w:b w:val="0"/>
          <w:bCs w:val="0"/>
          <w:caps w:val="0"/>
          <w:color w:val="000000"/>
          <w:spacing w:val="0"/>
          <w:sz w:val="32"/>
          <w:szCs w:val="32"/>
          <w:lang w:val="en-US" w:eastAsia="zh-CN" w:bidi="ar"/>
        </w:rPr>
        <w:t>实现完成情况：</w:t>
      </w:r>
      <w:r>
        <w:rPr>
          <w:rFonts w:hint="eastAsia" w:ascii="仿宋_GB2312" w:hAnsi="仿宋_GB2312" w:eastAsia="仿宋_GB2312" w:cs="仿宋_GB2312"/>
          <w:b w:val="0"/>
          <w:bCs w:val="0"/>
          <w:kern w:val="2"/>
          <w:sz w:val="32"/>
          <w:szCs w:val="32"/>
          <w:highlight w:val="none"/>
          <w:u w:val="none"/>
          <w:lang w:val="en-US" w:eastAsia="zh-CN" w:bidi="ar-SA"/>
        </w:rPr>
        <w:t>联合市农业农村局长安动检分所开展私屠乱宰专项整治，取缔违规生猪肉销售点11个。全力做好春秋季重大动物疫病防控，开展了动物强制免疫，秋季动物强制免疫加强补免一次。全年累计发放动物疫苗牛羊口蹄疫10000头份、小反刍9000头份、布病400头份、禽流感5000毫升、OA合成肽500头份，发放消毒药品1.21吨，经开展强免工作，全区未发生区域性重大动物疫情及各类常见多发病，确保了畜产品质量安全</w:t>
      </w:r>
      <w:r>
        <w:rPr>
          <w:rFonts w:hint="default" w:ascii="Times New Roman" w:hAnsi="Times New Roman" w:eastAsia="仿宋_GB2312" w:cs="Times New Roman"/>
          <w:kern w:val="2"/>
          <w:sz w:val="32"/>
          <w:szCs w:val="32"/>
          <w:highlight w:val="none"/>
          <w:u w:val="none"/>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ind w:left="0" w:leftChars="0" w:right="0" w:rightChars="0" w:firstLine="640" w:firstLineChars="200"/>
        <w:jc w:val="both"/>
        <w:textAlignment w:val="baseline"/>
        <w:outlineLvl w:val="9"/>
        <w:rPr>
          <w:rStyle w:val="24"/>
          <w:rFonts w:hint="eastAsia" w:ascii="仿宋_GB2312" w:hAnsi="仿宋_GB2312" w:eastAsia="仿宋_GB2312" w:cs="仿宋_GB2312"/>
          <w:b w:val="0"/>
          <w:bCs w:val="0"/>
          <w:caps w:val="0"/>
          <w:color w:val="000000"/>
          <w:spacing w:val="0"/>
          <w:sz w:val="32"/>
          <w:szCs w:val="32"/>
          <w:lang w:val="en-US" w:eastAsia="zh-CN" w:bidi="ar"/>
        </w:rPr>
      </w:pPr>
      <w:r>
        <w:rPr>
          <w:rStyle w:val="24"/>
          <w:rFonts w:hint="eastAsia" w:ascii="仿宋_GB2312" w:hAnsi="仿宋_GB2312" w:eastAsia="仿宋_GB2312" w:cs="仿宋_GB2312"/>
          <w:b w:val="0"/>
          <w:bCs w:val="0"/>
          <w:caps w:val="0"/>
          <w:color w:val="000000"/>
          <w:spacing w:val="0"/>
          <w:sz w:val="32"/>
          <w:szCs w:val="32"/>
          <w:lang w:val="en-US" w:eastAsia="zh-CN" w:bidi="ar"/>
        </w:rPr>
        <w:t>7、</w:t>
      </w:r>
      <w:r>
        <w:rPr>
          <w:rFonts w:hint="eastAsia" w:ascii="仿宋_GB2312" w:hAnsi="仿宋_GB2312" w:eastAsia="仿宋_GB2312" w:cs="仿宋_GB2312"/>
          <w:b w:val="0"/>
          <w:bCs w:val="0"/>
          <w:kern w:val="0"/>
          <w:sz w:val="32"/>
          <w:szCs w:val="32"/>
          <w:u w:val="none"/>
          <w:lang w:val="en-US" w:eastAsia="zh-CN" w:bidi="ar-SA"/>
        </w:rPr>
        <w:t>落实林长制，保护林业资源</w:t>
      </w:r>
    </w:p>
    <w:p>
      <w:pPr>
        <w:pStyle w:val="5"/>
        <w:keepNext w:val="0"/>
        <w:keepLines w:val="0"/>
        <w:pageBreakBefore w:val="0"/>
        <w:widowControl/>
        <w:suppressLineNumbers w:val="0"/>
        <w:pBdr>
          <w:bottom w:val="none" w:color="000000" w:sz="0" w:space="0"/>
        </w:pBdr>
        <w:kinsoku/>
        <w:wordWrap/>
        <w:overflowPunct/>
        <w:topLinePunct w:val="0"/>
        <w:autoSpaceDE/>
        <w:autoSpaceDN/>
        <w:bidi w:val="0"/>
        <w:adjustRightInd/>
        <w:snapToGrid/>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b w:val="0"/>
          <w:bCs w:val="0"/>
          <w:kern w:val="2"/>
          <w:sz w:val="32"/>
          <w:szCs w:val="32"/>
          <w:highlight w:val="none"/>
          <w:u w:val="none"/>
          <w:lang w:val="en-US" w:eastAsia="zh-CN" w:bidi="ar-SA"/>
        </w:rPr>
      </w:pPr>
      <w:r>
        <w:rPr>
          <w:rStyle w:val="24"/>
          <w:rFonts w:hint="eastAsia" w:ascii="仿宋_GB2312" w:hAnsi="仿宋_GB2312" w:eastAsia="仿宋_GB2312" w:cs="仿宋_GB2312"/>
          <w:b w:val="0"/>
          <w:bCs w:val="0"/>
          <w:caps w:val="0"/>
          <w:color w:val="000000"/>
          <w:spacing w:val="0"/>
          <w:sz w:val="32"/>
          <w:szCs w:val="32"/>
          <w:lang w:val="en-US" w:eastAsia="zh-CN" w:bidi="ar"/>
        </w:rPr>
        <w:t>实现完成情况：</w:t>
      </w:r>
      <w:r>
        <w:rPr>
          <w:rFonts w:hint="eastAsia" w:ascii="仿宋_GB2312" w:hAnsi="仿宋_GB2312" w:eastAsia="仿宋_GB2312" w:cs="仿宋_GB2312"/>
          <w:b w:val="0"/>
          <w:bCs w:val="0"/>
          <w:kern w:val="2"/>
          <w:sz w:val="32"/>
          <w:szCs w:val="32"/>
          <w:highlight w:val="none"/>
          <w:u w:val="none"/>
          <w:lang w:val="en-US" w:eastAsia="zh-CN" w:bidi="ar-SA"/>
        </w:rPr>
        <w:t>区级总林长签发1号总林长令，开展春季义务植树活动，种植各类树木4000余株。完成桃园镇肖家营村和南村镇中塔口村7块违法占用林地植树复绿整改。1-9月，全区三级林长巡林19002次，超额完成2025年前三季度巡林任务。完成125批次、226批次、石雄高铁占用林地复核以及林草植被恢复费征缴，做到依规办理，应缴尽缴。完成国土调查与林草湿调查地类对接涉及我区2781块图斑工作。完成全国性林草湿荒监测（普查）样地2块。会同市林业局野生动物保护科、森林公安开展国家二级野生动物陆龟和幼体银环蛇违规饲养执法2次，查没活体已移交至石家庄市野生动物保护中心。开展非法售卖国家保护野生鸟类专项整治，排查全区鸟类经营商户8家，依法打击违法售卖、拉网捕鸟等违法行为。9月28日和10月7日，会同市林业局对在石家庄市钢铁厂遗址公园进行表演的马戏团开展突击巡查，未发现使用保护野生动物。组织开展森林保护宣传和湿地保护宣传4次，提高了群众生态保护意识。开展美国白蛾、松线虫森林病虫害日常监测和防治，严防疫情发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0" w:firstLineChars="200"/>
        <w:textAlignment w:val="auto"/>
        <w:outlineLvl w:val="9"/>
        <w:rPr>
          <w:rFonts w:hint="eastAsia" w:ascii="黑体" w:hAnsi="黑体" w:eastAsia="黑体" w:cs="黑体"/>
          <w:sz w:val="32"/>
          <w:szCs w:val="32"/>
          <w:highlight w:val="none"/>
        </w:rPr>
      </w:pPr>
      <w:r>
        <w:rPr>
          <w:rFonts w:hint="eastAsia" w:ascii="黑体" w:hAnsi="黑体" w:eastAsia="黑体" w:cs="黑体"/>
          <w:sz w:val="32"/>
          <w:szCs w:val="32"/>
          <w:highlight w:val="none"/>
        </w:rPr>
        <w:t>四、评价结论和评价等级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部门整体支出</w:t>
      </w:r>
      <w:r>
        <w:rPr>
          <w:rFonts w:hint="eastAsia" w:ascii="仿宋_GB2312" w:hAnsi="仿宋_GB2312" w:eastAsia="仿宋_GB2312" w:cs="仿宋_GB2312"/>
          <w:sz w:val="32"/>
          <w:szCs w:val="32"/>
        </w:rPr>
        <w:t>综合绩效评价分为4个等级：得分≥85分为优秀；75≤得分＜85分为良好；60≤得分＜75分为一般；得分＜60分为较差。</w:t>
      </w:r>
      <w:r>
        <w:rPr>
          <w:rFonts w:hint="eastAsia" w:ascii="仿宋_GB2312" w:hAnsi="仿宋_GB2312" w:eastAsia="仿宋_GB2312" w:cs="仿宋_GB2312"/>
          <w:sz w:val="32"/>
          <w:szCs w:val="32"/>
          <w:lang w:eastAsia="zh-CN"/>
        </w:rPr>
        <w:t>综合绩效评价等级为优秀。</w:t>
      </w:r>
    </w:p>
    <w:p>
      <w:pPr>
        <w:widowControl w:val="0"/>
        <w:wordWrap/>
        <w:spacing w:line="560" w:lineRule="exact"/>
        <w:ind w:left="0" w:leftChars="0" w:right="0" w:firstLine="640" w:firstLineChars="200"/>
        <w:textAlignment w:val="auto"/>
        <w:outlineLvl w:val="9"/>
        <w:rPr>
          <w:rFonts w:ascii="黑体" w:hAnsi="黑体" w:eastAsia="黑体"/>
          <w:b w:val="0"/>
          <w:bCs w:val="0"/>
          <w:sz w:val="32"/>
          <w:szCs w:val="32"/>
        </w:rPr>
      </w:pPr>
      <w:r>
        <w:rPr>
          <w:rFonts w:hint="eastAsia" w:ascii="黑体" w:hAnsi="黑体" w:eastAsia="黑体"/>
          <w:b w:val="0"/>
          <w:bCs w:val="0"/>
          <w:sz w:val="32"/>
          <w:szCs w:val="32"/>
        </w:rPr>
        <w:t>五、存在的问题及改进措施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3" w:firstLineChars="200"/>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（一）存在的主要问题</w:t>
      </w:r>
    </w:p>
    <w:p>
      <w:pPr>
        <w:keepNext w:val="0"/>
        <w:keepLines w:val="0"/>
        <w:pageBreakBefore w:val="0"/>
        <w:widowControl w:val="0"/>
        <w:kinsoku/>
        <w:wordWrap/>
        <w:overflowPunct/>
        <w:topLinePunct w:val="0"/>
        <w:autoSpaceDE/>
        <w:autoSpaceDN/>
        <w:bidi w:val="0"/>
        <w:adjustRightInd/>
        <w:snapToGrid/>
        <w:spacing w:after="0" w:line="360" w:lineRule="auto"/>
        <w:ind w:firstLine="640" w:firstLineChars="2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绩效管理理念有待进一步增强。虽然对绩效</w:t>
      </w:r>
      <w:r>
        <w:rPr>
          <w:rFonts w:hint="eastAsia" w:ascii="仿宋_GB2312" w:eastAsia="仿宋_GB2312"/>
          <w:color w:val="000000" w:themeColor="text1"/>
          <w:sz w:val="32"/>
          <w:szCs w:val="32"/>
          <w:lang w:eastAsia="zh-CN"/>
          <w14:textFill>
            <w14:solidFill>
              <w14:schemeClr w14:val="tx1"/>
            </w14:solidFill>
          </w14:textFill>
        </w:rPr>
        <w:t>预算管理</w:t>
      </w:r>
      <w:r>
        <w:rPr>
          <w:rFonts w:hint="eastAsia" w:ascii="仿宋_GB2312" w:eastAsia="仿宋_GB2312"/>
          <w:color w:val="000000" w:themeColor="text1"/>
          <w:sz w:val="32"/>
          <w:szCs w:val="32"/>
          <w14:textFill>
            <w14:solidFill>
              <w14:schemeClr w14:val="tx1"/>
            </w14:solidFill>
          </w14:textFill>
        </w:rPr>
        <w:t>有了一定的了解，但长期以来形成的“重安排，轻监督；重使用，轻绩效”的思想短期内还存在，认为只要资金使用合法合规就行，忽视了财政资金的使用绩效。导致绩效目标不够明确、不够量化，缺乏可衡量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643" w:firstLineChars="200"/>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eastAsia="zh-CN"/>
        </w:rPr>
        <w:t>（二）</w:t>
      </w:r>
      <w:r>
        <w:rPr>
          <w:rFonts w:hint="eastAsia" w:ascii="仿宋_GB2312" w:hAnsi="仿宋_GB2312" w:eastAsia="仿宋_GB2312" w:cs="仿宋_GB2312"/>
          <w:b/>
          <w:bCs w:val="0"/>
          <w:sz w:val="32"/>
          <w:szCs w:val="32"/>
        </w:rPr>
        <w:t>针对问题提出具体的改进措施或建议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预算绩效管理工作组织领导，进一步提高思想认识，明确责任主体，优化预算管理流程，完善内控制度，明确部门内部绩效目标设置、审核、监控和评价的责任分工，加强部门财务与业务工作衔接，不断提升预算绩效管理水平，切实提高财政资金使用效益。</w:t>
      </w:r>
    </w:p>
    <w:p>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强化绩效目标管理，规范绩效目标编制。绩效目标是项目设立和实施的前提，是做好绩效评价等各项预算绩效管理工作的基础。科学设置绩效目标和相关指标，规范绩效目标编制，加强绩效目标审核，提升绩效目标编制质量。</w:t>
      </w:r>
    </w:p>
    <w:p>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强化绩效自评工作，如实反映绩效目标实现结果，对绩效目标未达成或目标制定明显不合理的，要作出说明提出改进措施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提高绩效评价质量。</w:t>
      </w:r>
    </w:p>
    <w:p>
      <w:pPr>
        <w:pStyle w:val="2"/>
      </w:pPr>
    </w:p>
    <w:p>
      <w:pPr>
        <w:widowControl w:val="0"/>
        <w:wordWrap/>
        <w:spacing w:line="560" w:lineRule="exact"/>
        <w:ind w:left="0" w:leftChars="0" w:right="0"/>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lang w:val="en-US" w:eastAsia="zh-CN"/>
        </w:rPr>
        <w:t xml:space="preserve">                                                     </w:t>
      </w:r>
      <w:r>
        <w:rPr>
          <w:rFonts w:hint="eastAsia" w:ascii="仿宋_GB2312" w:hAnsi="仿宋_GB2312" w:eastAsia="仿宋_GB2312" w:cs="仿宋_GB2312"/>
          <w:sz w:val="32"/>
          <w:szCs w:val="32"/>
          <w:lang w:val="en-US" w:eastAsia="zh-CN"/>
        </w:rPr>
        <w:t xml:space="preserve">  </w:t>
      </w:r>
      <w:bookmarkStart w:id="0" w:name="_GoBack"/>
      <w:r>
        <w:rPr>
          <w:rFonts w:hint="eastAsia" w:ascii="仿宋_GB2312" w:hAnsi="仿宋_GB2312" w:eastAsia="仿宋_GB2312" w:cs="仿宋_GB2312"/>
          <w:sz w:val="32"/>
          <w:szCs w:val="32"/>
          <w:lang w:val="en-US" w:eastAsia="zh-CN"/>
        </w:rPr>
        <w:t>长安区农业农村局</w:t>
      </w:r>
    </w:p>
    <w:p>
      <w:pPr>
        <w:pStyle w:val="2"/>
        <w:rPr>
          <w:rFonts w:hint="default"/>
          <w:lang w:val="en-US" w:eastAsia="zh-CN"/>
        </w:rPr>
      </w:pPr>
      <w:r>
        <w:rPr>
          <w:rFonts w:hint="eastAsia" w:ascii="仿宋_GB2312" w:hAnsi="仿宋_GB2312" w:eastAsia="仿宋_GB2312" w:cs="仿宋_GB2312"/>
          <w:sz w:val="32"/>
          <w:szCs w:val="32"/>
          <w:lang w:val="en-US" w:eastAsia="zh-CN"/>
        </w:rPr>
        <w:t xml:space="preserve">                                     2026年4月15日</w:t>
      </w:r>
    </w:p>
    <w:bookmarkEnd w:id="0"/>
    <w:p>
      <w:pPr>
        <w:widowControl w:val="0"/>
        <w:wordWrap/>
        <w:spacing w:line="560" w:lineRule="exact"/>
        <w:ind w:left="6400" w:leftChars="0" w:right="0" w:hanging="6400" w:hangingChars="20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sectPr>
      <w:footerReference r:id="rId3" w:type="default"/>
      <w:pgSz w:w="11906" w:h="16838"/>
      <w:pgMar w:top="1417" w:right="1417" w:bottom="1417" w:left="141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仿宋_GBK">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DengXian-Regular">
    <w:altName w:val="宋体"/>
    <w:panose1 w:val="00000000000000000000"/>
    <w:charset w:val="86"/>
    <w:family w:val="auto"/>
    <w:pitch w:val="default"/>
    <w:sig w:usb0="00000000" w:usb1="00000000" w:usb2="00000010"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C6714"/>
    <w:multiLevelType w:val="singleLevel"/>
    <w:tmpl w:val="1FAC6714"/>
    <w:lvl w:ilvl="0" w:tentative="0">
      <w:start w:val="3"/>
      <w:numFmt w:val="chineseCounting"/>
      <w:suff w:val="nothing"/>
      <w:lvlText w:val="%1、"/>
      <w:lvlJc w:val="left"/>
      <w:pPr>
        <w:ind w:left="800" w:leftChars="0" w:firstLine="0" w:firstLineChars="0"/>
      </w:pPr>
      <w:rPr>
        <w:rFonts w:hint="eastAsia"/>
      </w:rPr>
    </w:lvl>
  </w:abstractNum>
  <w:abstractNum w:abstractNumId="1">
    <w:nsid w:val="28FD3219"/>
    <w:multiLevelType w:val="singleLevel"/>
    <w:tmpl w:val="28FD3219"/>
    <w:lvl w:ilvl="0" w:tentative="0">
      <w:start w:val="1"/>
      <w:numFmt w:val="decimal"/>
      <w:suff w:val="nothing"/>
      <w:lvlText w:val="%1、"/>
      <w:lvlJc w:val="left"/>
    </w:lvl>
  </w:abstractNum>
  <w:abstractNum w:abstractNumId="2">
    <w:nsid w:val="2FE53EDA"/>
    <w:multiLevelType w:val="singleLevel"/>
    <w:tmpl w:val="2FE53EDA"/>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D2122"/>
    <w:rsid w:val="004E3CAF"/>
    <w:rsid w:val="00532368"/>
    <w:rsid w:val="007E6C1F"/>
    <w:rsid w:val="00AF566A"/>
    <w:rsid w:val="00B6553A"/>
    <w:rsid w:val="01B104CA"/>
    <w:rsid w:val="01EA0F86"/>
    <w:rsid w:val="02102591"/>
    <w:rsid w:val="02106AB0"/>
    <w:rsid w:val="0254324C"/>
    <w:rsid w:val="029C6409"/>
    <w:rsid w:val="02B43A28"/>
    <w:rsid w:val="02FF4149"/>
    <w:rsid w:val="03D47269"/>
    <w:rsid w:val="046F331E"/>
    <w:rsid w:val="05971F23"/>
    <w:rsid w:val="07956271"/>
    <w:rsid w:val="08CE75AA"/>
    <w:rsid w:val="09623172"/>
    <w:rsid w:val="09721397"/>
    <w:rsid w:val="09952996"/>
    <w:rsid w:val="0B587373"/>
    <w:rsid w:val="0BB63BED"/>
    <w:rsid w:val="0BD73404"/>
    <w:rsid w:val="0C434E08"/>
    <w:rsid w:val="0CC01BFA"/>
    <w:rsid w:val="0D806B11"/>
    <w:rsid w:val="0DAE3680"/>
    <w:rsid w:val="0DE9489F"/>
    <w:rsid w:val="0E65345B"/>
    <w:rsid w:val="0EB97A43"/>
    <w:rsid w:val="0EBD2122"/>
    <w:rsid w:val="0ED37211"/>
    <w:rsid w:val="0EDB5C93"/>
    <w:rsid w:val="0F214EAE"/>
    <w:rsid w:val="10CE2456"/>
    <w:rsid w:val="11B71E6A"/>
    <w:rsid w:val="11CD18D9"/>
    <w:rsid w:val="12DD7C61"/>
    <w:rsid w:val="144C5941"/>
    <w:rsid w:val="15B12B5B"/>
    <w:rsid w:val="15CB4D5F"/>
    <w:rsid w:val="15EB1736"/>
    <w:rsid w:val="167E2EA3"/>
    <w:rsid w:val="180207A6"/>
    <w:rsid w:val="18070724"/>
    <w:rsid w:val="18642FE4"/>
    <w:rsid w:val="187E4E3B"/>
    <w:rsid w:val="187F2675"/>
    <w:rsid w:val="18C53ABE"/>
    <w:rsid w:val="19597911"/>
    <w:rsid w:val="19772957"/>
    <w:rsid w:val="19FE0783"/>
    <w:rsid w:val="1A0A2219"/>
    <w:rsid w:val="1AAF0063"/>
    <w:rsid w:val="1B0B33CB"/>
    <w:rsid w:val="1BA31C16"/>
    <w:rsid w:val="1BE140DE"/>
    <w:rsid w:val="1BF91CDE"/>
    <w:rsid w:val="1C357A80"/>
    <w:rsid w:val="1D51556D"/>
    <w:rsid w:val="1D691628"/>
    <w:rsid w:val="1F2C0023"/>
    <w:rsid w:val="1F3444DD"/>
    <w:rsid w:val="1FCB204B"/>
    <w:rsid w:val="200E79CC"/>
    <w:rsid w:val="20650DDA"/>
    <w:rsid w:val="20DA78BA"/>
    <w:rsid w:val="21044615"/>
    <w:rsid w:val="219D60C3"/>
    <w:rsid w:val="21CB4A6C"/>
    <w:rsid w:val="224725F9"/>
    <w:rsid w:val="22C670C0"/>
    <w:rsid w:val="22DD0D0A"/>
    <w:rsid w:val="239D4BC5"/>
    <w:rsid w:val="239D5EBA"/>
    <w:rsid w:val="23C12910"/>
    <w:rsid w:val="248C197D"/>
    <w:rsid w:val="24921B76"/>
    <w:rsid w:val="252959AF"/>
    <w:rsid w:val="27387529"/>
    <w:rsid w:val="277A6671"/>
    <w:rsid w:val="292D35B7"/>
    <w:rsid w:val="2A7E4AD4"/>
    <w:rsid w:val="2AA56EBB"/>
    <w:rsid w:val="2BD26424"/>
    <w:rsid w:val="2D1C78EF"/>
    <w:rsid w:val="2F17586E"/>
    <w:rsid w:val="2F3A0D2F"/>
    <w:rsid w:val="2FDC67A8"/>
    <w:rsid w:val="2FDF59E6"/>
    <w:rsid w:val="30901149"/>
    <w:rsid w:val="30BA3B68"/>
    <w:rsid w:val="32620A3F"/>
    <w:rsid w:val="327517CE"/>
    <w:rsid w:val="33CF0AB6"/>
    <w:rsid w:val="33EB6CFF"/>
    <w:rsid w:val="344D5C27"/>
    <w:rsid w:val="348174D9"/>
    <w:rsid w:val="351D6CAC"/>
    <w:rsid w:val="35A12947"/>
    <w:rsid w:val="35B43E25"/>
    <w:rsid w:val="37387040"/>
    <w:rsid w:val="37A03B10"/>
    <w:rsid w:val="38F143ED"/>
    <w:rsid w:val="3905094C"/>
    <w:rsid w:val="39746D3E"/>
    <w:rsid w:val="3A081552"/>
    <w:rsid w:val="3AAA4573"/>
    <w:rsid w:val="3B021F2B"/>
    <w:rsid w:val="3B395205"/>
    <w:rsid w:val="3B625C0A"/>
    <w:rsid w:val="3CEE1963"/>
    <w:rsid w:val="3E295101"/>
    <w:rsid w:val="3F382A01"/>
    <w:rsid w:val="3F8877CA"/>
    <w:rsid w:val="3F973679"/>
    <w:rsid w:val="3FBE12EA"/>
    <w:rsid w:val="3FD450A0"/>
    <w:rsid w:val="40116C06"/>
    <w:rsid w:val="409902F2"/>
    <w:rsid w:val="41487D74"/>
    <w:rsid w:val="41FA6FF1"/>
    <w:rsid w:val="42147F6D"/>
    <w:rsid w:val="426204DC"/>
    <w:rsid w:val="43621379"/>
    <w:rsid w:val="43BB2507"/>
    <w:rsid w:val="440A1071"/>
    <w:rsid w:val="44686C8F"/>
    <w:rsid w:val="44A34DBB"/>
    <w:rsid w:val="45234411"/>
    <w:rsid w:val="45FC5CC6"/>
    <w:rsid w:val="47B3677C"/>
    <w:rsid w:val="47EA57E8"/>
    <w:rsid w:val="48241745"/>
    <w:rsid w:val="49881231"/>
    <w:rsid w:val="4B23289D"/>
    <w:rsid w:val="4B2B420D"/>
    <w:rsid w:val="4C4F2118"/>
    <w:rsid w:val="4C9C27FE"/>
    <w:rsid w:val="4E3E642E"/>
    <w:rsid w:val="4E524FCE"/>
    <w:rsid w:val="4F003049"/>
    <w:rsid w:val="4FCE35C5"/>
    <w:rsid w:val="50114320"/>
    <w:rsid w:val="50E638C8"/>
    <w:rsid w:val="50EC757E"/>
    <w:rsid w:val="512260B4"/>
    <w:rsid w:val="51981D19"/>
    <w:rsid w:val="51BC2282"/>
    <w:rsid w:val="52BD6ACB"/>
    <w:rsid w:val="53E626B1"/>
    <w:rsid w:val="54BE7543"/>
    <w:rsid w:val="55537534"/>
    <w:rsid w:val="561A74F1"/>
    <w:rsid w:val="565B40F2"/>
    <w:rsid w:val="57B31753"/>
    <w:rsid w:val="57C25E45"/>
    <w:rsid w:val="590D3DCE"/>
    <w:rsid w:val="5914309D"/>
    <w:rsid w:val="59582E97"/>
    <w:rsid w:val="597244E8"/>
    <w:rsid w:val="5B041DBD"/>
    <w:rsid w:val="5C2B1C53"/>
    <w:rsid w:val="5D007C1C"/>
    <w:rsid w:val="5D587588"/>
    <w:rsid w:val="5EB71C30"/>
    <w:rsid w:val="5F802766"/>
    <w:rsid w:val="5F8F728B"/>
    <w:rsid w:val="5F9F0644"/>
    <w:rsid w:val="6032712D"/>
    <w:rsid w:val="60AB30CF"/>
    <w:rsid w:val="61954B80"/>
    <w:rsid w:val="619B4DDD"/>
    <w:rsid w:val="61BE095B"/>
    <w:rsid w:val="62425097"/>
    <w:rsid w:val="626472D6"/>
    <w:rsid w:val="62944E43"/>
    <w:rsid w:val="638705AE"/>
    <w:rsid w:val="63AD48F6"/>
    <w:rsid w:val="63C85F8D"/>
    <w:rsid w:val="64A86573"/>
    <w:rsid w:val="651B0C07"/>
    <w:rsid w:val="66772F00"/>
    <w:rsid w:val="66AF0CE5"/>
    <w:rsid w:val="6758310E"/>
    <w:rsid w:val="680367DE"/>
    <w:rsid w:val="68103242"/>
    <w:rsid w:val="69C72581"/>
    <w:rsid w:val="6AC537CF"/>
    <w:rsid w:val="6C0140D4"/>
    <w:rsid w:val="6C7C672F"/>
    <w:rsid w:val="6D0F18D7"/>
    <w:rsid w:val="6E3C7DE4"/>
    <w:rsid w:val="6E5B14A6"/>
    <w:rsid w:val="6EAB4493"/>
    <w:rsid w:val="6EB234A7"/>
    <w:rsid w:val="6ED778D5"/>
    <w:rsid w:val="6F9D0EBB"/>
    <w:rsid w:val="6FA32804"/>
    <w:rsid w:val="6FB54C33"/>
    <w:rsid w:val="6FF646B5"/>
    <w:rsid w:val="7043462F"/>
    <w:rsid w:val="711B255E"/>
    <w:rsid w:val="716655D7"/>
    <w:rsid w:val="71763F50"/>
    <w:rsid w:val="719A4415"/>
    <w:rsid w:val="736E013A"/>
    <w:rsid w:val="75CD74F6"/>
    <w:rsid w:val="75D014DB"/>
    <w:rsid w:val="760F3BF7"/>
    <w:rsid w:val="7653186E"/>
    <w:rsid w:val="766A2CBD"/>
    <w:rsid w:val="77FD316B"/>
    <w:rsid w:val="7992126B"/>
    <w:rsid w:val="7AE8523B"/>
    <w:rsid w:val="7B4B6920"/>
    <w:rsid w:val="7B7608BA"/>
    <w:rsid w:val="7BB51E06"/>
    <w:rsid w:val="7C387F7C"/>
    <w:rsid w:val="7C657304"/>
    <w:rsid w:val="7C800B4F"/>
    <w:rsid w:val="7F2070F9"/>
    <w:rsid w:val="7FE834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FollowedHyperlink"/>
    <w:basedOn w:val="8"/>
    <w:qFormat/>
    <w:uiPriority w:val="0"/>
    <w:rPr>
      <w:color w:val="800080"/>
      <w:u w:val="none"/>
    </w:rPr>
  </w:style>
  <w:style w:type="character" w:styleId="11">
    <w:name w:val="Emphasis"/>
    <w:basedOn w:val="8"/>
    <w:qFormat/>
    <w:uiPriority w:val="0"/>
  </w:style>
  <w:style w:type="character" w:styleId="12">
    <w:name w:val="HTML Definition"/>
    <w:basedOn w:val="8"/>
    <w:qFormat/>
    <w:uiPriority w:val="0"/>
  </w:style>
  <w:style w:type="character" w:styleId="13">
    <w:name w:val="HTML Typewriter"/>
    <w:basedOn w:val="8"/>
    <w:qFormat/>
    <w:uiPriority w:val="0"/>
    <w:rPr>
      <w:rFonts w:ascii="Courier New" w:hAnsi="Courier New"/>
      <w:sz w:val="24"/>
      <w:szCs w:val="24"/>
    </w:rPr>
  </w:style>
  <w:style w:type="character" w:styleId="14">
    <w:name w:val="HTML Acronym"/>
    <w:basedOn w:val="8"/>
    <w:qFormat/>
    <w:uiPriority w:val="0"/>
  </w:style>
  <w:style w:type="character" w:styleId="15">
    <w:name w:val="HTML Variable"/>
    <w:basedOn w:val="8"/>
    <w:qFormat/>
    <w:uiPriority w:val="0"/>
  </w:style>
  <w:style w:type="character" w:styleId="16">
    <w:name w:val="Hyperlink"/>
    <w:basedOn w:val="8"/>
    <w:qFormat/>
    <w:uiPriority w:val="0"/>
    <w:rPr>
      <w:color w:val="0000FF"/>
      <w:u w:val="none"/>
    </w:rPr>
  </w:style>
  <w:style w:type="character" w:styleId="17">
    <w:name w:val="HTML Code"/>
    <w:basedOn w:val="8"/>
    <w:qFormat/>
    <w:uiPriority w:val="0"/>
    <w:rPr>
      <w:rFonts w:ascii="Courier New" w:hAnsi="Courier New"/>
      <w:sz w:val="24"/>
      <w:szCs w:val="24"/>
    </w:rPr>
  </w:style>
  <w:style w:type="character" w:styleId="18">
    <w:name w:val="HTML Cite"/>
    <w:basedOn w:val="8"/>
    <w:qFormat/>
    <w:uiPriority w:val="0"/>
  </w:style>
  <w:style w:type="character" w:styleId="19">
    <w:name w:val="HTML Keyboard"/>
    <w:basedOn w:val="8"/>
    <w:qFormat/>
    <w:uiPriority w:val="0"/>
    <w:rPr>
      <w:rFonts w:ascii="Courier New" w:hAnsi="Courier New"/>
      <w:sz w:val="24"/>
      <w:szCs w:val="24"/>
    </w:rPr>
  </w:style>
  <w:style w:type="character" w:styleId="20">
    <w:name w:val="HTML Sample"/>
    <w:basedOn w:val="8"/>
    <w:qFormat/>
    <w:uiPriority w:val="0"/>
    <w:rPr>
      <w:rFonts w:ascii="Courier New" w:hAnsi="Courier New"/>
      <w:sz w:val="24"/>
      <w:szCs w:val="24"/>
    </w:rPr>
  </w:style>
  <w:style w:type="paragraph" w:customStyle="1" w:styleId="21">
    <w:name w:val="_Style 1"/>
    <w:qFormat/>
    <w:uiPriority w:val="99"/>
    <w:pPr>
      <w:widowControl w:val="0"/>
      <w:jc w:val="both"/>
    </w:pPr>
    <w:rPr>
      <w:rFonts w:ascii="宋体" w:hAnsi="Times New Roman" w:eastAsia="宋体" w:cs="黑体"/>
      <w:kern w:val="2"/>
      <w:sz w:val="32"/>
      <w:szCs w:val="22"/>
      <w:lang w:val="en-US" w:eastAsia="zh-CN" w:bidi="ar-SA"/>
    </w:rPr>
  </w:style>
  <w:style w:type="character" w:customStyle="1" w:styleId="22">
    <w:name w:val="hover"/>
    <w:basedOn w:val="8"/>
    <w:qFormat/>
    <w:uiPriority w:val="0"/>
    <w:rPr>
      <w:color w:val="315EFB"/>
    </w:rPr>
  </w:style>
  <w:style w:type="character" w:customStyle="1" w:styleId="23">
    <w:name w:val="index-module_accountauthentication_3bwix"/>
    <w:basedOn w:val="8"/>
    <w:qFormat/>
    <w:uiPriority w:val="0"/>
  </w:style>
  <w:style w:type="character" w:customStyle="1" w:styleId="24">
    <w:name w:val="15"/>
    <w:basedOn w:val="8"/>
    <w:qFormat/>
    <w:uiPriority w:val="0"/>
    <w:rPr>
      <w:rFonts w:hint="default" w:ascii="Calibri" w:hAnsi="Calibri" w:eastAsia="宋体" w:cs="黑体"/>
      <w:kern w:val="2"/>
      <w:sz w:val="21"/>
      <w:szCs w:val="21"/>
    </w:rPr>
  </w:style>
  <w:style w:type="character" w:customStyle="1" w:styleId="25">
    <w:name w:val="NormalCharacter"/>
    <w:qFormat/>
    <w:uiPriority w:val="0"/>
    <w:rPr>
      <w:rFonts w:ascii="Times New Roman" w:hAnsi="Times New Roman" w:eastAsia="宋体" w:cs="Times New Roman"/>
    </w:rPr>
  </w:style>
  <w:style w:type="paragraph" w:customStyle="1" w:styleId="26">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7">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160</Words>
  <Characters>916</Characters>
  <Lines>7</Lines>
  <Paragraphs>2</Paragraphs>
  <TotalTime>25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2025-05-09T07:29:00Z</cp:lastPrinted>
  <dcterms:modified xsi:type="dcterms:W3CDTF">2026-04-14T02:23:57Z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