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rPr>
          <w:rFonts w:hint="eastAsia" w:ascii="仿宋_GB2312" w:eastAsia="仿宋_GB2312"/>
          <w:sz w:val="32"/>
          <w:szCs w:val="32"/>
          <w:lang w:val="en-US" w:eastAsia="zh-CN"/>
        </w:rPr>
      </w:pPr>
      <w:r>
        <w:rPr>
          <w:rFonts w:hint="eastAsia" w:ascii="仿宋_GB2312" w:eastAsia="仿宋_GB2312"/>
          <w:sz w:val="32"/>
          <w:szCs w:val="32"/>
        </w:rPr>
        <w:t>附件</w:t>
      </w:r>
      <w:r>
        <w:rPr>
          <w:rFonts w:hint="eastAsia" w:ascii="仿宋_GB2312" w:eastAsia="仿宋_GB2312"/>
          <w:sz w:val="32"/>
          <w:szCs w:val="32"/>
          <w:lang w:val="en-US" w:eastAsia="zh-CN"/>
        </w:rPr>
        <w:t>3</w:t>
      </w:r>
    </w:p>
    <w:p>
      <w:pPr>
        <w:spacing w:line="560" w:lineRule="exact"/>
        <w:jc w:val="center"/>
        <w:rPr>
          <w:rFonts w:ascii="宋体" w:hAnsi="宋体" w:cs="宋体"/>
          <w:b/>
          <w:bCs/>
          <w:sz w:val="44"/>
          <w:szCs w:val="44"/>
        </w:rPr>
      </w:pPr>
    </w:p>
    <w:p>
      <w:pPr>
        <w:spacing w:line="560" w:lineRule="exact"/>
        <w:jc w:val="center"/>
        <w:rPr>
          <w:rFonts w:hint="eastAsia" w:ascii="宋体" w:hAnsi="宋体" w:cs="宋体"/>
          <w:b/>
          <w:bCs/>
          <w:sz w:val="44"/>
          <w:szCs w:val="44"/>
        </w:rPr>
      </w:pPr>
      <w:r>
        <w:rPr>
          <w:rFonts w:hint="eastAsia" w:ascii="宋体" w:hAnsi="宋体" w:cs="宋体"/>
          <w:b/>
          <w:bCs/>
          <w:sz w:val="44"/>
          <w:szCs w:val="44"/>
          <w:lang w:eastAsia="zh-CN"/>
        </w:rPr>
        <w:t>长安区信访局</w:t>
      </w:r>
      <w:r>
        <w:rPr>
          <w:rFonts w:hint="eastAsia" w:ascii="宋体" w:hAnsi="宋体" w:cs="宋体"/>
          <w:b/>
          <w:bCs/>
          <w:sz w:val="44"/>
          <w:szCs w:val="44"/>
        </w:rPr>
        <w:t>部门</w:t>
      </w:r>
    </w:p>
    <w:p>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pPr>
        <w:spacing w:line="560" w:lineRule="exact"/>
        <w:jc w:val="center"/>
        <w:rPr>
          <w:rFonts w:ascii="华文楷体" w:eastAsia="华文楷体"/>
          <w:sz w:val="32"/>
          <w:szCs w:val="32"/>
        </w:rPr>
      </w:pP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w:t>
      </w:r>
      <w:r>
        <w:rPr>
          <w:rFonts w:hint="eastAsia" w:ascii="仿宋" w:hAnsi="仿宋" w:eastAsia="仿宋"/>
          <w:sz w:val="32"/>
          <w:szCs w:val="32"/>
          <w:lang w:eastAsia="zh-CN"/>
        </w:rPr>
        <w:t>区</w:t>
      </w:r>
      <w:r>
        <w:rPr>
          <w:rFonts w:hint="eastAsia" w:ascii="仿宋" w:hAnsi="仿宋" w:eastAsia="仿宋"/>
          <w:sz w:val="32"/>
          <w:szCs w:val="32"/>
        </w:rPr>
        <w:t>委</w:t>
      </w:r>
      <w:r>
        <w:rPr>
          <w:rFonts w:hint="eastAsia" w:ascii="仿宋" w:hAnsi="仿宋" w:eastAsia="仿宋"/>
          <w:sz w:val="32"/>
          <w:szCs w:val="32"/>
          <w:lang w:eastAsia="zh-CN"/>
        </w:rPr>
        <w:t>区</w:t>
      </w:r>
      <w:r>
        <w:rPr>
          <w:rFonts w:hint="eastAsia" w:ascii="仿宋" w:hAnsi="仿宋" w:eastAsia="仿宋"/>
          <w:sz w:val="32"/>
          <w:szCs w:val="32"/>
        </w:rPr>
        <w:t>政府《关于全面落实预算绩效管理的实施意见》（</w:t>
      </w:r>
      <w:r>
        <w:rPr>
          <w:rFonts w:hint="eastAsia" w:ascii="仿宋" w:hAnsi="仿宋" w:eastAsia="仿宋"/>
          <w:sz w:val="32"/>
          <w:szCs w:val="32"/>
          <w:lang w:eastAsia="zh-CN"/>
        </w:rPr>
        <w:t>长</w:t>
      </w:r>
      <w:r>
        <w:rPr>
          <w:rFonts w:hint="eastAsia" w:ascii="仿宋" w:hAnsi="仿宋" w:eastAsia="仿宋"/>
          <w:sz w:val="32"/>
          <w:szCs w:val="32"/>
        </w:rPr>
        <w:t>发﹝2019﹞8号）文件精神，遵循“科学性、规范性、客观性和公正性”的原则，对</w:t>
      </w:r>
      <w:r>
        <w:rPr>
          <w:rFonts w:hint="eastAsia" w:ascii="仿宋" w:hAnsi="仿宋" w:eastAsia="仿宋"/>
          <w:sz w:val="32"/>
          <w:szCs w:val="32"/>
          <w:lang w:eastAsia="zh-CN"/>
        </w:rPr>
        <w:t>长安区信访局</w:t>
      </w:r>
      <w:r>
        <w:rPr>
          <w:rFonts w:hint="eastAsia" w:ascii="仿宋" w:hAnsi="仿宋" w:eastAsia="仿宋"/>
          <w:sz w:val="32"/>
          <w:szCs w:val="32"/>
        </w:rPr>
        <w:t>部门202</w:t>
      </w:r>
      <w:r>
        <w:rPr>
          <w:rFonts w:hint="eastAsia" w:ascii="仿宋" w:hAnsi="仿宋" w:eastAsia="仿宋"/>
          <w:sz w:val="32"/>
          <w:szCs w:val="32"/>
          <w:lang w:val="en-US" w:eastAsia="zh-CN"/>
        </w:rPr>
        <w:t>5</w:t>
      </w:r>
      <w:r>
        <w:rPr>
          <w:rFonts w:hint="eastAsia" w:ascii="仿宋" w:hAnsi="仿宋" w:eastAsia="仿宋"/>
          <w:sz w:val="32"/>
          <w:szCs w:val="32"/>
        </w:rPr>
        <w:t>年整体支出情况实施了财政支出绩效自评价，形成本评价报告。</w:t>
      </w:r>
    </w:p>
    <w:p>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pPr>
        <w:adjustRightInd w:val="0"/>
        <w:snapToGrid w:val="0"/>
        <w:spacing w:line="520" w:lineRule="exact"/>
        <w:ind w:firstLine="640" w:firstLineChars="200"/>
        <w:jc w:val="left"/>
        <w:rPr>
          <w:rFonts w:ascii="仿宋" w:hAnsi="仿宋" w:eastAsia="仿宋"/>
          <w:color w:val="000000"/>
          <w:sz w:val="32"/>
          <w:szCs w:val="32"/>
        </w:rPr>
      </w:pPr>
      <w:r>
        <w:rPr>
          <w:rFonts w:hint="eastAsia" w:ascii="仿宋" w:hAnsi="仿宋" w:eastAsia="仿宋"/>
          <w:color w:val="000000"/>
          <w:sz w:val="32"/>
          <w:szCs w:val="32"/>
        </w:rPr>
        <w:t>长安区信访局为</w:t>
      </w:r>
      <w:r>
        <w:rPr>
          <w:rFonts w:hint="eastAsia" w:ascii="仿宋" w:hAnsi="仿宋" w:eastAsia="仿宋"/>
          <w:color w:val="000000"/>
          <w:sz w:val="32"/>
          <w:szCs w:val="32"/>
          <w:lang w:eastAsia="zh-CN"/>
        </w:rPr>
        <w:t>区委工作机关</w:t>
      </w:r>
      <w:r>
        <w:rPr>
          <w:rFonts w:hint="eastAsia" w:ascii="仿宋" w:hAnsi="仿宋" w:eastAsia="仿宋"/>
          <w:color w:val="000000"/>
          <w:sz w:val="32"/>
          <w:szCs w:val="32"/>
        </w:rPr>
        <w:t>，机构规格正科级。</w:t>
      </w:r>
    </w:p>
    <w:p>
      <w:pPr>
        <w:adjustRightInd w:val="0"/>
        <w:snapToGrid w:val="0"/>
        <w:spacing w:line="520" w:lineRule="exact"/>
        <w:ind w:firstLine="640" w:firstLineChars="200"/>
        <w:jc w:val="left"/>
        <w:rPr>
          <w:rFonts w:ascii="仿宋" w:hAnsi="仿宋" w:eastAsia="仿宋"/>
          <w:color w:val="000000"/>
          <w:sz w:val="32"/>
          <w:szCs w:val="32"/>
        </w:rPr>
      </w:pPr>
      <w:r>
        <w:rPr>
          <w:rFonts w:hint="eastAsia" w:ascii="仿宋" w:hAnsi="仿宋" w:eastAsia="仿宋"/>
          <w:color w:val="000000"/>
          <w:sz w:val="32"/>
          <w:szCs w:val="32"/>
        </w:rPr>
        <w:t>研究提出全区信访工作思路，贯彻落实有关信访法规、规章。</w:t>
      </w:r>
    </w:p>
    <w:p>
      <w:pPr>
        <w:adjustRightInd w:val="0"/>
        <w:snapToGrid w:val="0"/>
        <w:spacing w:line="520" w:lineRule="exact"/>
        <w:ind w:firstLine="640" w:firstLineChars="200"/>
        <w:jc w:val="left"/>
        <w:rPr>
          <w:rFonts w:ascii="仿宋" w:hAnsi="仿宋" w:eastAsia="仿宋"/>
          <w:color w:val="000000"/>
          <w:sz w:val="32"/>
          <w:szCs w:val="32"/>
        </w:rPr>
      </w:pPr>
      <w:r>
        <w:rPr>
          <w:rFonts w:hint="eastAsia" w:ascii="仿宋" w:hAnsi="仿宋" w:eastAsia="仿宋"/>
          <w:color w:val="000000"/>
          <w:sz w:val="32"/>
          <w:szCs w:val="32"/>
        </w:rPr>
        <w:t>办理人民群众来信，接待群众来访，受理群众网上投诉，查办信访案件，承办区领导电子信箱有关信访工作，负责人民群众建议征集工作。</w:t>
      </w:r>
    </w:p>
    <w:p>
      <w:pPr>
        <w:adjustRightInd w:val="0"/>
        <w:snapToGrid w:val="0"/>
        <w:spacing w:line="520" w:lineRule="exact"/>
        <w:ind w:firstLine="640" w:firstLineChars="200"/>
        <w:jc w:val="left"/>
        <w:rPr>
          <w:rFonts w:ascii="仿宋" w:hAnsi="仿宋" w:eastAsia="仿宋"/>
          <w:color w:val="000000"/>
          <w:sz w:val="32"/>
          <w:szCs w:val="32"/>
        </w:rPr>
      </w:pPr>
      <w:r>
        <w:rPr>
          <w:rFonts w:hint="eastAsia" w:ascii="仿宋" w:hAnsi="仿宋" w:eastAsia="仿宋"/>
          <w:color w:val="000000"/>
          <w:sz w:val="32"/>
          <w:szCs w:val="32"/>
        </w:rPr>
        <w:t>调查研究和综合分析全区信访形势及信访工作状况，总结推广各地各部门信访工作经验，提出改进和加强信访工作的意见和建议。</w:t>
      </w:r>
    </w:p>
    <w:p>
      <w:pPr>
        <w:adjustRightInd w:val="0"/>
        <w:snapToGrid w:val="0"/>
        <w:spacing w:line="520" w:lineRule="exact"/>
        <w:ind w:firstLine="640" w:firstLineChars="200"/>
        <w:jc w:val="left"/>
        <w:rPr>
          <w:rFonts w:ascii="仿宋" w:hAnsi="仿宋" w:eastAsia="仿宋"/>
          <w:color w:val="000000"/>
          <w:sz w:val="32"/>
          <w:szCs w:val="32"/>
        </w:rPr>
      </w:pPr>
      <w:r>
        <w:rPr>
          <w:rFonts w:hint="eastAsia" w:ascii="仿宋" w:hAnsi="仿宋" w:eastAsia="仿宋"/>
          <w:color w:val="000000"/>
          <w:sz w:val="32"/>
          <w:szCs w:val="32"/>
        </w:rPr>
        <w:t>参与组织、协调、指导全区社会治安综合治理和维护社会稳定工作，协助报账国家、省、市重大政治活动顺利进行，参与处理影响社会政治稳定的突发性、群体性事件。</w:t>
      </w:r>
    </w:p>
    <w:p>
      <w:pPr>
        <w:adjustRightInd w:val="0"/>
        <w:snapToGrid w:val="0"/>
        <w:spacing w:line="520" w:lineRule="exact"/>
        <w:ind w:firstLine="640" w:firstLineChars="200"/>
        <w:jc w:val="left"/>
        <w:rPr>
          <w:rFonts w:ascii="仿宋" w:hAnsi="仿宋" w:eastAsia="仿宋"/>
          <w:color w:val="000000"/>
          <w:sz w:val="32"/>
          <w:szCs w:val="32"/>
        </w:rPr>
      </w:pPr>
      <w:r>
        <w:rPr>
          <w:rFonts w:hint="eastAsia" w:ascii="仿宋" w:hAnsi="仿宋" w:eastAsia="仿宋"/>
          <w:color w:val="000000"/>
          <w:sz w:val="32"/>
          <w:szCs w:val="32"/>
        </w:rPr>
        <w:t>督促检查和知道各街镇和区直部门的信访工作，对各街镇和区直有关部门信访工作年度责任目标进行考核，对全区社会治安综合治理和维护社会稳定年度责任目标中有关信访工作进行考核。</w:t>
      </w:r>
    </w:p>
    <w:p>
      <w:pPr>
        <w:adjustRightInd w:val="0"/>
        <w:snapToGrid w:val="0"/>
        <w:spacing w:line="520" w:lineRule="exact"/>
        <w:ind w:firstLine="640" w:firstLineChars="200"/>
        <w:jc w:val="left"/>
        <w:rPr>
          <w:rFonts w:ascii="仿宋" w:hAnsi="仿宋" w:eastAsia="仿宋"/>
          <w:color w:val="000000"/>
          <w:sz w:val="32"/>
          <w:szCs w:val="32"/>
        </w:rPr>
      </w:pPr>
      <w:r>
        <w:rPr>
          <w:rFonts w:hint="eastAsia" w:ascii="仿宋" w:hAnsi="仿宋" w:eastAsia="仿宋"/>
          <w:color w:val="000000"/>
          <w:sz w:val="32"/>
          <w:szCs w:val="32"/>
        </w:rPr>
        <w:t>协助国家信访局、省信访局、市信访局处理长安区群众进京上访工作，综合协调处理跨地区、跨部门、跨行业的重要信访问题，协助有关部门维护区委、区政府机关正常工作秩序。</w:t>
      </w:r>
    </w:p>
    <w:p>
      <w:pPr>
        <w:adjustRightInd w:val="0"/>
        <w:snapToGrid w:val="0"/>
        <w:spacing w:line="520" w:lineRule="exact"/>
        <w:ind w:firstLine="640" w:firstLineChars="200"/>
        <w:jc w:val="left"/>
        <w:rPr>
          <w:rFonts w:ascii="仿宋" w:hAnsi="仿宋" w:eastAsia="仿宋"/>
          <w:color w:val="000000"/>
          <w:sz w:val="32"/>
          <w:szCs w:val="32"/>
        </w:rPr>
      </w:pPr>
      <w:r>
        <w:rPr>
          <w:rFonts w:hint="eastAsia" w:ascii="仿宋" w:hAnsi="仿宋" w:eastAsia="仿宋"/>
          <w:color w:val="000000"/>
          <w:sz w:val="32"/>
          <w:szCs w:val="32"/>
        </w:rPr>
        <w:t>负责省、市、区领导及省、市直、区直部门领导公开接访和包联案件的组织协调工作。</w:t>
      </w:r>
    </w:p>
    <w:p>
      <w:pPr>
        <w:adjustRightInd w:val="0"/>
        <w:snapToGrid w:val="0"/>
        <w:spacing w:line="520" w:lineRule="exact"/>
        <w:ind w:firstLine="640" w:firstLineChars="200"/>
        <w:jc w:val="left"/>
        <w:rPr>
          <w:rFonts w:ascii="仿宋" w:hAnsi="仿宋" w:eastAsia="仿宋"/>
          <w:color w:val="000000"/>
          <w:sz w:val="32"/>
          <w:szCs w:val="32"/>
        </w:rPr>
      </w:pPr>
      <w:r>
        <w:rPr>
          <w:rFonts w:hint="eastAsia" w:ascii="仿宋" w:hAnsi="仿宋" w:eastAsia="仿宋"/>
          <w:color w:val="000000"/>
          <w:sz w:val="32"/>
          <w:szCs w:val="32"/>
        </w:rPr>
        <w:t>承担石家庄市长安区信访工作联席会议的日常工作，督促落实联席会议决定的事项。</w:t>
      </w:r>
    </w:p>
    <w:p>
      <w:pPr>
        <w:adjustRightInd w:val="0"/>
        <w:snapToGrid w:val="0"/>
        <w:spacing w:line="520" w:lineRule="exact"/>
        <w:ind w:firstLine="640" w:firstLineChars="200"/>
        <w:jc w:val="left"/>
        <w:rPr>
          <w:rFonts w:hint="eastAsia" w:ascii="仿宋" w:hAnsi="仿宋" w:eastAsia="仿宋"/>
          <w:color w:val="000000"/>
          <w:sz w:val="32"/>
          <w:szCs w:val="32"/>
        </w:rPr>
      </w:pPr>
      <w:r>
        <w:rPr>
          <w:rFonts w:hint="eastAsia" w:ascii="仿宋" w:hAnsi="仿宋" w:eastAsia="仿宋"/>
          <w:color w:val="000000"/>
          <w:sz w:val="32"/>
          <w:szCs w:val="32"/>
        </w:rPr>
        <w:t>完成区委、区政府以及国家、省、市信访局交办的其他任务。</w:t>
      </w:r>
    </w:p>
    <w:p>
      <w:pPr>
        <w:jc w:val="center"/>
        <w:outlineLvl w:val="0"/>
        <w:rPr>
          <w:rFonts w:eastAsia="方正小标宋_GBK"/>
          <w:sz w:val="32"/>
          <w:szCs w:val="24"/>
        </w:rPr>
      </w:pPr>
      <w:r>
        <w:rPr>
          <w:rFonts w:eastAsia="方正小标宋_GBK"/>
          <w:sz w:val="32"/>
          <w:szCs w:val="24"/>
        </w:rPr>
        <w:t>部门</w:t>
      </w:r>
      <w:r>
        <w:rPr>
          <w:rFonts w:hint="eastAsia" w:eastAsia="方正小标宋_GBK"/>
          <w:sz w:val="32"/>
          <w:szCs w:val="24"/>
        </w:rPr>
        <w:t>机构设置情况</w:t>
      </w:r>
    </w:p>
    <w:tbl>
      <w:tblPr>
        <w:tblStyle w:val="5"/>
        <w:tblW w:w="89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6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00" w:hRule="atLeast"/>
          <w:tblHeader/>
          <w:jc w:val="center"/>
        </w:trPr>
        <w:tc>
          <w:tcPr>
            <w:tcW w:w="3617" w:type="dxa"/>
            <w:vMerge w:val="restart"/>
            <w:vAlign w:val="center"/>
          </w:tcPr>
          <w:p>
            <w:pPr>
              <w:spacing w:line="300" w:lineRule="exact"/>
              <w:jc w:val="center"/>
              <w:rPr>
                <w:rFonts w:eastAsia="方正书宋_GBK"/>
                <w:b/>
                <w:szCs w:val="24"/>
              </w:rPr>
            </w:pPr>
            <w:r>
              <w:rPr>
                <w:rFonts w:eastAsia="方正书宋_GBK"/>
                <w:b/>
                <w:szCs w:val="24"/>
              </w:rPr>
              <w:t>单位名称</w:t>
            </w:r>
          </w:p>
        </w:tc>
        <w:tc>
          <w:tcPr>
            <w:tcW w:w="1134" w:type="dxa"/>
            <w:vMerge w:val="restart"/>
            <w:vAlign w:val="center"/>
          </w:tcPr>
          <w:p>
            <w:pPr>
              <w:spacing w:line="300" w:lineRule="exact"/>
              <w:jc w:val="center"/>
              <w:rPr>
                <w:rFonts w:eastAsia="方正书宋_GBK"/>
                <w:b/>
                <w:szCs w:val="24"/>
              </w:rPr>
            </w:pPr>
            <w:r>
              <w:rPr>
                <w:rFonts w:eastAsia="方正书宋_GBK"/>
                <w:b/>
                <w:szCs w:val="24"/>
              </w:rPr>
              <w:t>单位性质</w:t>
            </w:r>
          </w:p>
        </w:tc>
        <w:tc>
          <w:tcPr>
            <w:tcW w:w="1276" w:type="dxa"/>
            <w:vMerge w:val="restart"/>
            <w:vAlign w:val="center"/>
          </w:tcPr>
          <w:p>
            <w:pPr>
              <w:spacing w:line="300" w:lineRule="exact"/>
              <w:jc w:val="center"/>
              <w:rPr>
                <w:rFonts w:eastAsia="方正书宋_GBK"/>
                <w:b/>
                <w:szCs w:val="24"/>
              </w:rPr>
            </w:pPr>
            <w:r>
              <w:rPr>
                <w:rFonts w:eastAsia="方正书宋_GBK"/>
                <w:b/>
                <w:szCs w:val="24"/>
              </w:rPr>
              <w:t>单位规格</w:t>
            </w:r>
          </w:p>
        </w:tc>
        <w:tc>
          <w:tcPr>
            <w:tcW w:w="2902" w:type="dxa"/>
            <w:vMerge w:val="restart"/>
            <w:vAlign w:val="center"/>
          </w:tcPr>
          <w:p>
            <w:pPr>
              <w:spacing w:line="300" w:lineRule="exact"/>
              <w:jc w:val="center"/>
              <w:rPr>
                <w:rFonts w:eastAsia="方正书宋_GBK"/>
                <w:b/>
                <w:szCs w:val="24"/>
              </w:rPr>
            </w:pPr>
            <w:r>
              <w:rPr>
                <w:rFonts w:eastAsia="方正书宋_GBK"/>
                <w:b/>
                <w:szCs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00" w:hRule="atLeast"/>
          <w:tblHeader/>
          <w:jc w:val="center"/>
        </w:trPr>
        <w:tc>
          <w:tcPr>
            <w:tcW w:w="3617" w:type="dxa"/>
            <w:vMerge w:val="continue"/>
            <w:vAlign w:val="center"/>
          </w:tcPr>
          <w:p>
            <w:pPr>
              <w:spacing w:line="300" w:lineRule="exact"/>
              <w:jc w:val="left"/>
              <w:outlineLvl w:val="0"/>
              <w:rPr>
                <w:szCs w:val="24"/>
              </w:rPr>
            </w:pPr>
          </w:p>
        </w:tc>
        <w:tc>
          <w:tcPr>
            <w:tcW w:w="1134" w:type="dxa"/>
            <w:vMerge w:val="continue"/>
            <w:vAlign w:val="center"/>
          </w:tcPr>
          <w:p>
            <w:pPr>
              <w:spacing w:line="300" w:lineRule="exact"/>
              <w:jc w:val="left"/>
              <w:outlineLvl w:val="0"/>
              <w:rPr>
                <w:szCs w:val="24"/>
              </w:rPr>
            </w:pPr>
          </w:p>
        </w:tc>
        <w:tc>
          <w:tcPr>
            <w:tcW w:w="1276" w:type="dxa"/>
            <w:vMerge w:val="continue"/>
            <w:vAlign w:val="center"/>
          </w:tcPr>
          <w:p>
            <w:pPr>
              <w:spacing w:line="300" w:lineRule="exact"/>
              <w:jc w:val="left"/>
              <w:outlineLvl w:val="0"/>
              <w:rPr>
                <w:szCs w:val="24"/>
              </w:rPr>
            </w:pPr>
          </w:p>
        </w:tc>
        <w:tc>
          <w:tcPr>
            <w:tcW w:w="2902" w:type="dxa"/>
            <w:vMerge w:val="continue"/>
            <w:vAlign w:val="center"/>
          </w:tcPr>
          <w:p>
            <w:pPr>
              <w:spacing w:line="300" w:lineRule="exact"/>
              <w:jc w:val="left"/>
              <w:outlineLvl w:val="0"/>
              <w:rPr>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3617" w:type="dxa"/>
            <w:vAlign w:val="center"/>
          </w:tcPr>
          <w:p>
            <w:pPr>
              <w:spacing w:line="300" w:lineRule="exact"/>
              <w:jc w:val="center"/>
              <w:rPr>
                <w:rFonts w:hint="eastAsia" w:ascii="仿宋" w:hAnsi="仿宋" w:eastAsia="仿宋"/>
                <w:szCs w:val="24"/>
                <w:lang w:eastAsia="zh-CN"/>
              </w:rPr>
            </w:pPr>
            <w:r>
              <w:rPr>
                <w:rFonts w:hint="eastAsia" w:ascii="仿宋" w:hAnsi="仿宋" w:eastAsia="仿宋"/>
                <w:szCs w:val="24"/>
              </w:rPr>
              <w:t>石家庄市</w:t>
            </w:r>
            <w:r>
              <w:rPr>
                <w:rFonts w:hint="eastAsia" w:ascii="仿宋" w:hAnsi="仿宋" w:eastAsia="仿宋"/>
                <w:szCs w:val="24"/>
                <w:lang w:eastAsia="zh-CN"/>
              </w:rPr>
              <w:t>长安区信访局</w:t>
            </w:r>
          </w:p>
        </w:tc>
        <w:tc>
          <w:tcPr>
            <w:tcW w:w="1134" w:type="dxa"/>
            <w:vAlign w:val="center"/>
          </w:tcPr>
          <w:p>
            <w:pPr>
              <w:spacing w:line="300" w:lineRule="exact"/>
              <w:jc w:val="center"/>
              <w:rPr>
                <w:rFonts w:hint="eastAsia" w:ascii="仿宋" w:hAnsi="仿宋" w:eastAsia="仿宋"/>
                <w:szCs w:val="24"/>
              </w:rPr>
            </w:pPr>
            <w:r>
              <w:rPr>
                <w:rFonts w:hint="eastAsia" w:ascii="仿宋" w:hAnsi="仿宋" w:eastAsia="仿宋"/>
                <w:szCs w:val="24"/>
              </w:rPr>
              <w:t>行政</w:t>
            </w:r>
          </w:p>
        </w:tc>
        <w:tc>
          <w:tcPr>
            <w:tcW w:w="1276" w:type="dxa"/>
            <w:vAlign w:val="center"/>
          </w:tcPr>
          <w:p>
            <w:pPr>
              <w:spacing w:line="300" w:lineRule="exact"/>
              <w:jc w:val="center"/>
              <w:rPr>
                <w:rFonts w:hint="eastAsia" w:ascii="仿宋" w:hAnsi="仿宋" w:eastAsia="仿宋"/>
                <w:szCs w:val="24"/>
              </w:rPr>
            </w:pPr>
            <w:r>
              <w:rPr>
                <w:rFonts w:hint="eastAsia" w:ascii="仿宋" w:hAnsi="仿宋" w:eastAsia="仿宋"/>
                <w:szCs w:val="24"/>
              </w:rPr>
              <w:t>正科级</w:t>
            </w:r>
          </w:p>
        </w:tc>
        <w:tc>
          <w:tcPr>
            <w:tcW w:w="2902" w:type="dxa"/>
            <w:vAlign w:val="center"/>
          </w:tcPr>
          <w:p>
            <w:pPr>
              <w:spacing w:line="300" w:lineRule="exact"/>
              <w:jc w:val="center"/>
              <w:rPr>
                <w:rFonts w:hint="eastAsia" w:ascii="仿宋" w:hAnsi="仿宋" w:eastAsia="仿宋"/>
                <w:szCs w:val="24"/>
              </w:rPr>
            </w:pPr>
            <w:r>
              <w:rPr>
                <w:rFonts w:hint="eastAsia" w:ascii="仿宋" w:hAnsi="仿宋" w:eastAsia="仿宋"/>
                <w:szCs w:val="24"/>
              </w:rPr>
              <w:t>财政拨款</w:t>
            </w:r>
          </w:p>
        </w:tc>
      </w:tr>
    </w:tbl>
    <w:p>
      <w:pPr>
        <w:widowControl w:val="0"/>
        <w:wordWrap/>
        <w:adjustRightInd w:val="0"/>
        <w:snapToGrid w:val="0"/>
        <w:spacing w:line="560" w:lineRule="exact"/>
        <w:ind w:right="0" w:firstLine="640" w:firstLineChars="200"/>
        <w:textAlignment w:val="auto"/>
        <w:outlineLvl w:val="9"/>
        <w:rPr>
          <w:rFonts w:hint="default" w:ascii="仿宋" w:hAnsi="仿宋" w:eastAsia="仿宋"/>
          <w:sz w:val="32"/>
          <w:szCs w:val="32"/>
          <w:highlight w:val="none"/>
          <w:lang w:val="en-US" w:eastAsia="zh-CN"/>
        </w:rPr>
      </w:pPr>
      <w:r>
        <w:rPr>
          <w:rFonts w:hint="eastAsia" w:ascii="仿宋" w:hAnsi="仿宋" w:eastAsia="仿宋"/>
          <w:sz w:val="32"/>
          <w:szCs w:val="32"/>
          <w:highlight w:val="none"/>
          <w:lang w:eastAsia="zh-CN"/>
        </w:rPr>
        <w:t>长安区信访局共有在职在编人员</w:t>
      </w:r>
      <w:r>
        <w:rPr>
          <w:rFonts w:hint="eastAsia" w:ascii="仿宋" w:hAnsi="仿宋" w:eastAsia="仿宋"/>
          <w:sz w:val="32"/>
          <w:szCs w:val="32"/>
          <w:highlight w:val="none"/>
          <w:lang w:val="en-US" w:eastAsia="zh-CN"/>
        </w:rPr>
        <w:t>18名，其中行政9人，事业编9人。</w:t>
      </w:r>
    </w:p>
    <w:p>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pPr>
        <w:snapToGrid w:val="0"/>
        <w:spacing w:line="520" w:lineRule="exact"/>
        <w:ind w:firstLine="640" w:firstLineChars="200"/>
        <w:rPr>
          <w:rFonts w:ascii="仿宋_GB2312" w:hAnsi="仿宋" w:eastAsia="仿宋_GB2312"/>
          <w:sz w:val="32"/>
          <w:szCs w:val="32"/>
        </w:rPr>
      </w:pPr>
      <w:bookmarkStart w:id="0" w:name="OLE_LINK1"/>
      <w:r>
        <w:rPr>
          <w:rFonts w:hint="eastAsia" w:ascii="仿宋_GB2312" w:hAnsi="仿宋" w:eastAsia="仿宋_GB2312"/>
          <w:sz w:val="32"/>
          <w:szCs w:val="32"/>
        </w:rPr>
        <w:t>202</w:t>
      </w:r>
      <w:r>
        <w:rPr>
          <w:rFonts w:hint="eastAsia" w:ascii="仿宋_GB2312" w:hAnsi="仿宋" w:eastAsia="仿宋_GB2312"/>
          <w:sz w:val="32"/>
          <w:szCs w:val="32"/>
          <w:lang w:val="en-US" w:eastAsia="zh-CN"/>
        </w:rPr>
        <w:t>5</w:t>
      </w:r>
      <w:r>
        <w:rPr>
          <w:rFonts w:hint="eastAsia" w:ascii="仿宋_GB2312" w:hAnsi="仿宋" w:eastAsia="仿宋_GB2312"/>
          <w:sz w:val="32"/>
          <w:szCs w:val="32"/>
        </w:rPr>
        <w:t>年财政拨款收入为</w:t>
      </w:r>
      <w:r>
        <w:rPr>
          <w:rFonts w:hint="eastAsia" w:ascii="仿宋_GB2312" w:hAnsi="仿宋" w:eastAsia="仿宋_GB2312"/>
          <w:sz w:val="32"/>
          <w:szCs w:val="32"/>
          <w:lang w:val="en-US" w:eastAsia="zh-CN"/>
        </w:rPr>
        <w:t>494.51</w:t>
      </w:r>
      <w:r>
        <w:rPr>
          <w:rFonts w:hint="eastAsia" w:ascii="仿宋_GB2312" w:hAnsi="仿宋" w:eastAsia="仿宋_GB2312"/>
          <w:sz w:val="32"/>
          <w:szCs w:val="32"/>
        </w:rPr>
        <w:t>万元、支出为</w:t>
      </w:r>
      <w:r>
        <w:rPr>
          <w:rFonts w:hint="eastAsia" w:ascii="仿宋_GB2312" w:hAnsi="仿宋" w:eastAsia="仿宋_GB2312"/>
          <w:sz w:val="32"/>
          <w:szCs w:val="32"/>
          <w:lang w:val="en-US" w:eastAsia="zh-CN"/>
        </w:rPr>
        <w:t>494.51</w:t>
      </w:r>
      <w:r>
        <w:rPr>
          <w:rFonts w:hint="eastAsia" w:ascii="仿宋_GB2312" w:hAnsi="仿宋" w:eastAsia="仿宋_GB2312"/>
          <w:sz w:val="32"/>
          <w:szCs w:val="32"/>
        </w:rPr>
        <w:t>万元，财政拨款收入为一般公共预算财政拨款，支出分别为基本支出和项目支出，其中基本支出为</w:t>
      </w:r>
      <w:r>
        <w:rPr>
          <w:rFonts w:hint="eastAsia" w:ascii="仿宋_GB2312" w:hAnsi="仿宋" w:eastAsia="仿宋_GB2312"/>
          <w:sz w:val="32"/>
          <w:szCs w:val="32"/>
          <w:lang w:val="en-US" w:eastAsia="zh-CN"/>
        </w:rPr>
        <w:t>360.87</w:t>
      </w:r>
      <w:r>
        <w:rPr>
          <w:rFonts w:hint="eastAsia" w:ascii="仿宋_GB2312" w:hAnsi="仿宋" w:eastAsia="仿宋_GB2312"/>
          <w:sz w:val="32"/>
          <w:szCs w:val="32"/>
        </w:rPr>
        <w:t>万元，其中人员经费为</w:t>
      </w:r>
      <w:r>
        <w:rPr>
          <w:rFonts w:hint="eastAsia" w:ascii="仿宋_GB2312" w:hAnsi="仿宋" w:eastAsia="仿宋_GB2312"/>
          <w:sz w:val="32"/>
          <w:szCs w:val="32"/>
          <w:lang w:val="en-US" w:eastAsia="zh-CN"/>
        </w:rPr>
        <w:t>133.64</w:t>
      </w:r>
      <w:r>
        <w:rPr>
          <w:rFonts w:hint="eastAsia" w:ascii="仿宋_GB2312" w:hAnsi="仿宋" w:eastAsia="仿宋_GB2312"/>
          <w:sz w:val="32"/>
          <w:szCs w:val="32"/>
        </w:rPr>
        <w:t>万元，日常公用经费</w:t>
      </w:r>
      <w:r>
        <w:rPr>
          <w:rFonts w:hint="eastAsia" w:ascii="仿宋_GB2312" w:hAnsi="仿宋" w:eastAsia="仿宋_GB2312"/>
          <w:sz w:val="32"/>
          <w:szCs w:val="32"/>
          <w:lang w:val="en-US" w:eastAsia="zh-CN"/>
        </w:rPr>
        <w:t>19.02</w:t>
      </w:r>
      <w:r>
        <w:rPr>
          <w:rFonts w:hint="eastAsia" w:ascii="仿宋_GB2312" w:hAnsi="仿宋" w:eastAsia="仿宋_GB2312"/>
          <w:sz w:val="32"/>
          <w:szCs w:val="32"/>
        </w:rPr>
        <w:t>万元；项目支出为</w:t>
      </w:r>
      <w:r>
        <w:rPr>
          <w:rFonts w:hint="eastAsia" w:ascii="仿宋_GB2312" w:hAnsi="仿宋" w:eastAsia="仿宋_GB2312"/>
          <w:sz w:val="32"/>
          <w:szCs w:val="32"/>
          <w:lang w:val="en-US" w:eastAsia="zh-CN"/>
        </w:rPr>
        <w:t>133.64</w:t>
      </w:r>
      <w:r>
        <w:rPr>
          <w:rFonts w:hint="eastAsia" w:ascii="仿宋_GB2312" w:hAnsi="仿宋" w:eastAsia="仿宋_GB2312"/>
          <w:sz w:val="32"/>
          <w:szCs w:val="32"/>
        </w:rPr>
        <w:t>万元。</w:t>
      </w:r>
    </w:p>
    <w:bookmarkEnd w:id="0"/>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以习近平新时代中国特色社会主义思想为指导，全面贯彻习近平总书记关于加强和改进人民信访工作的重要思想，坚持以人民为中心的发展思想，围绕信访事项办理、矛盾纠纷排查化解、信访法治化建设、信息化保障、机关运行保障等重点工作，合理安排财政资金，规范预算执行，提升资金使用效益，确保信访工作高效、规范、有序开展，切实维护群众合法权益，促进社会和谐稳定，全面完成年度各项工作任务。</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（一）产出指标</w:t>
      </w:r>
    </w:p>
    <w:p>
      <w:pPr>
        <w:adjustRightInd w:val="0"/>
        <w:snapToGrid w:val="0"/>
        <w:spacing w:line="560" w:lineRule="exact"/>
        <w:ind w:firstLine="960" w:firstLineChars="300"/>
        <w:rPr>
          <w:rFonts w:hint="eastAsia" w:ascii="仿宋" w:hAnsi="仿宋" w:eastAsia="仿宋"/>
          <w:sz w:val="32"/>
          <w:szCs w:val="32"/>
        </w:rPr>
      </w:pPr>
      <w:r>
        <w:rPr>
          <w:rFonts w:hint="eastAsia" w:ascii="仿宋" w:hAnsi="仿宋" w:eastAsia="仿宋"/>
          <w:sz w:val="32"/>
          <w:szCs w:val="32"/>
        </w:rPr>
        <w:t>1. 数量指标</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w:t>
      </w:r>
      <w:r>
        <w:rPr>
          <w:rFonts w:hint="eastAsia" w:ascii="仿宋" w:hAnsi="仿宋" w:eastAsia="仿宋"/>
          <w:sz w:val="32"/>
          <w:szCs w:val="32"/>
          <w:lang w:val="en-US" w:eastAsia="zh-CN"/>
        </w:rPr>
        <w:t>1</w:t>
      </w:r>
      <w:r>
        <w:rPr>
          <w:rFonts w:hint="eastAsia" w:ascii="仿宋" w:hAnsi="仿宋" w:eastAsia="仿宋"/>
          <w:sz w:val="32"/>
          <w:szCs w:val="32"/>
          <w:lang w:eastAsia="zh-CN"/>
        </w:rPr>
        <w:t>）</w:t>
      </w:r>
      <w:r>
        <w:rPr>
          <w:rFonts w:hint="eastAsia" w:ascii="仿宋" w:hAnsi="仿宋" w:eastAsia="仿宋"/>
          <w:sz w:val="32"/>
          <w:szCs w:val="32"/>
        </w:rPr>
        <w:t>年度受理群众信访事项数量：完成上级下达任务</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w:t>
      </w:r>
      <w:r>
        <w:rPr>
          <w:rFonts w:hint="eastAsia" w:ascii="仿宋" w:hAnsi="仿宋" w:eastAsia="仿宋"/>
          <w:sz w:val="32"/>
          <w:szCs w:val="32"/>
          <w:lang w:val="en-US" w:eastAsia="zh-CN"/>
        </w:rPr>
        <w:t>2</w:t>
      </w:r>
      <w:r>
        <w:rPr>
          <w:rFonts w:hint="eastAsia" w:ascii="仿宋" w:hAnsi="仿宋" w:eastAsia="仿宋"/>
          <w:sz w:val="32"/>
          <w:szCs w:val="32"/>
          <w:lang w:eastAsia="zh-CN"/>
        </w:rPr>
        <w:t>）</w:t>
      </w:r>
      <w:r>
        <w:rPr>
          <w:rFonts w:hint="eastAsia" w:ascii="仿宋" w:hAnsi="仿宋" w:eastAsia="仿宋"/>
          <w:sz w:val="32"/>
          <w:szCs w:val="32"/>
        </w:rPr>
        <w:t>信访事项交办、督办数量：按工作需要完成</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w:t>
      </w:r>
      <w:r>
        <w:rPr>
          <w:rFonts w:hint="eastAsia" w:ascii="仿宋" w:hAnsi="仿宋" w:eastAsia="仿宋"/>
          <w:sz w:val="32"/>
          <w:szCs w:val="32"/>
          <w:lang w:val="en-US" w:eastAsia="zh-CN"/>
        </w:rPr>
        <w:t>3</w:t>
      </w:r>
      <w:r>
        <w:rPr>
          <w:rFonts w:hint="eastAsia" w:ascii="仿宋" w:hAnsi="仿宋" w:eastAsia="仿宋"/>
          <w:sz w:val="32"/>
          <w:szCs w:val="32"/>
          <w:lang w:eastAsia="zh-CN"/>
        </w:rPr>
        <w:t>）</w:t>
      </w:r>
      <w:r>
        <w:rPr>
          <w:rFonts w:hint="eastAsia" w:ascii="仿宋" w:hAnsi="仿宋" w:eastAsia="仿宋"/>
          <w:sz w:val="32"/>
          <w:szCs w:val="32"/>
        </w:rPr>
        <w:t>矛盾纠纷排查化解数量：按计划完成</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w:t>
      </w:r>
      <w:r>
        <w:rPr>
          <w:rFonts w:hint="eastAsia" w:ascii="仿宋" w:hAnsi="仿宋" w:eastAsia="仿宋"/>
          <w:sz w:val="32"/>
          <w:szCs w:val="32"/>
          <w:lang w:val="en-US" w:eastAsia="zh-CN"/>
        </w:rPr>
        <w:t>4</w:t>
      </w:r>
      <w:r>
        <w:rPr>
          <w:rFonts w:hint="eastAsia" w:ascii="仿宋" w:hAnsi="仿宋" w:eastAsia="仿宋"/>
          <w:sz w:val="32"/>
          <w:szCs w:val="32"/>
          <w:lang w:eastAsia="zh-CN"/>
        </w:rPr>
        <w:t>）</w:t>
      </w:r>
      <w:r>
        <w:rPr>
          <w:rFonts w:hint="eastAsia" w:ascii="仿宋" w:hAnsi="仿宋" w:eastAsia="仿宋"/>
          <w:sz w:val="32"/>
          <w:szCs w:val="32"/>
        </w:rPr>
        <w:t>信访业务培训场次：≥4次</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w:t>
      </w:r>
      <w:r>
        <w:rPr>
          <w:rFonts w:hint="eastAsia" w:ascii="仿宋" w:hAnsi="仿宋" w:eastAsia="仿宋"/>
          <w:sz w:val="32"/>
          <w:szCs w:val="32"/>
          <w:lang w:val="en-US" w:eastAsia="zh-CN"/>
        </w:rPr>
        <w:t>5</w:t>
      </w:r>
      <w:r>
        <w:rPr>
          <w:rFonts w:hint="eastAsia" w:ascii="仿宋" w:hAnsi="仿宋" w:eastAsia="仿宋"/>
          <w:sz w:val="32"/>
          <w:szCs w:val="32"/>
          <w:lang w:eastAsia="zh-CN"/>
        </w:rPr>
        <w:t>）</w:t>
      </w:r>
      <w:r>
        <w:rPr>
          <w:rFonts w:hint="eastAsia" w:ascii="仿宋" w:hAnsi="仿宋" w:eastAsia="仿宋"/>
          <w:sz w:val="32"/>
          <w:szCs w:val="32"/>
        </w:rPr>
        <w:t>法治宣传、政策解读活动场次：≥2次</w:t>
      </w:r>
    </w:p>
    <w:p>
      <w:pPr>
        <w:adjustRightInd w:val="0"/>
        <w:snapToGrid w:val="0"/>
        <w:spacing w:line="560" w:lineRule="exact"/>
        <w:ind w:firstLine="960" w:firstLineChars="300"/>
        <w:rPr>
          <w:rFonts w:hint="eastAsia" w:ascii="仿宋" w:hAnsi="仿宋" w:eastAsia="仿宋"/>
          <w:sz w:val="32"/>
          <w:szCs w:val="32"/>
        </w:rPr>
      </w:pPr>
      <w:r>
        <w:rPr>
          <w:rFonts w:hint="eastAsia" w:ascii="仿宋" w:hAnsi="仿宋" w:eastAsia="仿宋"/>
          <w:sz w:val="32"/>
          <w:szCs w:val="32"/>
        </w:rPr>
        <w:t>2. 质量指标</w:t>
      </w:r>
    </w:p>
    <w:p>
      <w:pPr>
        <w:adjustRightInd w:val="0"/>
        <w:snapToGrid w:val="0"/>
        <w:spacing w:line="560" w:lineRule="exact"/>
        <w:ind w:firstLine="640" w:firstLineChars="200"/>
        <w:rPr>
          <w:rFonts w:hint="default" w:ascii="仿宋" w:hAnsi="仿宋" w:eastAsia="仿宋"/>
          <w:sz w:val="32"/>
          <w:szCs w:val="32"/>
          <w:lang w:val="en-US" w:eastAsia="zh-CN"/>
        </w:rPr>
      </w:pPr>
      <w:r>
        <w:rPr>
          <w:rFonts w:hint="eastAsia" w:ascii="仿宋" w:hAnsi="仿宋" w:eastAsia="仿宋"/>
          <w:sz w:val="32"/>
          <w:szCs w:val="32"/>
          <w:lang w:eastAsia="zh-CN"/>
        </w:rPr>
        <w:t>（</w:t>
      </w:r>
      <w:r>
        <w:rPr>
          <w:rFonts w:hint="eastAsia" w:ascii="仿宋" w:hAnsi="仿宋" w:eastAsia="仿宋"/>
          <w:sz w:val="32"/>
          <w:szCs w:val="32"/>
          <w:lang w:val="en-US" w:eastAsia="zh-CN"/>
        </w:rPr>
        <w:t>1</w:t>
      </w:r>
      <w:r>
        <w:rPr>
          <w:rFonts w:hint="eastAsia" w:ascii="仿宋" w:hAnsi="仿宋" w:eastAsia="仿宋"/>
          <w:sz w:val="32"/>
          <w:szCs w:val="32"/>
          <w:lang w:eastAsia="zh-CN"/>
        </w:rPr>
        <w:t>）</w:t>
      </w:r>
      <w:r>
        <w:rPr>
          <w:rFonts w:hint="eastAsia" w:ascii="仿宋" w:hAnsi="仿宋" w:eastAsia="仿宋"/>
          <w:sz w:val="32"/>
          <w:szCs w:val="32"/>
        </w:rPr>
        <w:t>信访事项及时受理率≥9</w:t>
      </w:r>
      <w:r>
        <w:rPr>
          <w:rFonts w:hint="eastAsia" w:ascii="仿宋" w:hAnsi="仿宋" w:eastAsia="仿宋"/>
          <w:sz w:val="32"/>
          <w:szCs w:val="32"/>
          <w:lang w:val="en-US" w:eastAsia="zh-CN"/>
        </w:rPr>
        <w:t>9</w:t>
      </w:r>
      <w:r>
        <w:rPr>
          <w:rFonts w:hint="eastAsia" w:ascii="仿宋" w:hAnsi="仿宋" w:eastAsia="仿宋"/>
          <w:sz w:val="32"/>
          <w:szCs w:val="32"/>
        </w:rPr>
        <w:t>%</w:t>
      </w:r>
    </w:p>
    <w:p>
      <w:pPr>
        <w:adjustRightInd w:val="0"/>
        <w:snapToGrid w:val="0"/>
        <w:spacing w:line="560" w:lineRule="exact"/>
        <w:ind w:firstLine="640" w:firstLineChars="200"/>
        <w:rPr>
          <w:rFonts w:hint="default" w:ascii="仿宋" w:hAnsi="仿宋" w:eastAsia="仿宋"/>
          <w:sz w:val="32"/>
          <w:szCs w:val="32"/>
          <w:lang w:val="en-US" w:eastAsia="zh-CN"/>
        </w:rPr>
      </w:pPr>
      <w:r>
        <w:rPr>
          <w:rFonts w:hint="eastAsia" w:ascii="仿宋" w:hAnsi="仿宋" w:eastAsia="仿宋"/>
          <w:sz w:val="32"/>
          <w:szCs w:val="32"/>
          <w:lang w:eastAsia="zh-CN"/>
        </w:rPr>
        <w:t>（</w:t>
      </w:r>
      <w:r>
        <w:rPr>
          <w:rFonts w:hint="eastAsia" w:ascii="仿宋" w:hAnsi="仿宋" w:eastAsia="仿宋"/>
          <w:sz w:val="32"/>
          <w:szCs w:val="32"/>
          <w:lang w:val="en-US" w:eastAsia="zh-CN"/>
        </w:rPr>
        <w:t>2</w:t>
      </w:r>
      <w:r>
        <w:rPr>
          <w:rFonts w:hint="eastAsia" w:ascii="仿宋" w:hAnsi="仿宋" w:eastAsia="仿宋"/>
          <w:sz w:val="32"/>
          <w:szCs w:val="32"/>
          <w:lang w:eastAsia="zh-CN"/>
        </w:rPr>
        <w:t>）</w:t>
      </w:r>
      <w:r>
        <w:rPr>
          <w:rFonts w:hint="eastAsia" w:ascii="仿宋" w:hAnsi="仿宋" w:eastAsia="仿宋"/>
          <w:sz w:val="32"/>
          <w:szCs w:val="32"/>
        </w:rPr>
        <w:t>信访事项按期办结率≥9</w:t>
      </w:r>
      <w:r>
        <w:rPr>
          <w:rFonts w:hint="eastAsia" w:ascii="仿宋" w:hAnsi="仿宋" w:eastAsia="仿宋"/>
          <w:sz w:val="32"/>
          <w:szCs w:val="32"/>
          <w:lang w:val="en-US" w:eastAsia="zh-CN"/>
        </w:rPr>
        <w:t>9</w:t>
      </w:r>
      <w:r>
        <w:rPr>
          <w:rFonts w:hint="eastAsia" w:ascii="仿宋" w:hAnsi="仿宋" w:eastAsia="仿宋"/>
          <w:sz w:val="32"/>
          <w:szCs w:val="32"/>
        </w:rPr>
        <w:t>%</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w:t>
      </w:r>
      <w:r>
        <w:rPr>
          <w:rFonts w:hint="eastAsia" w:ascii="仿宋" w:hAnsi="仿宋" w:eastAsia="仿宋"/>
          <w:sz w:val="32"/>
          <w:szCs w:val="32"/>
          <w:lang w:val="en-US" w:eastAsia="zh-CN"/>
        </w:rPr>
        <w:t>3</w:t>
      </w:r>
      <w:r>
        <w:rPr>
          <w:rFonts w:hint="eastAsia" w:ascii="仿宋" w:hAnsi="仿宋" w:eastAsia="仿宋"/>
          <w:sz w:val="32"/>
          <w:szCs w:val="32"/>
          <w:lang w:eastAsia="zh-CN"/>
        </w:rPr>
        <w:t>）</w:t>
      </w:r>
      <w:r>
        <w:rPr>
          <w:rFonts w:hint="eastAsia" w:ascii="仿宋" w:hAnsi="仿宋" w:eastAsia="仿宋"/>
          <w:sz w:val="32"/>
          <w:szCs w:val="32"/>
        </w:rPr>
        <w:t>信息系统安全稳定运行率：100%</w:t>
      </w:r>
    </w:p>
    <w:p>
      <w:pPr>
        <w:adjustRightInd w:val="0"/>
        <w:snapToGrid w:val="0"/>
        <w:spacing w:line="560" w:lineRule="exact"/>
        <w:ind w:firstLine="960" w:firstLineChars="300"/>
        <w:rPr>
          <w:rFonts w:hint="eastAsia" w:ascii="仿宋" w:hAnsi="仿宋" w:eastAsia="仿宋"/>
          <w:sz w:val="32"/>
          <w:szCs w:val="32"/>
          <w:lang w:val="en-US" w:eastAsia="zh-CN"/>
        </w:rPr>
      </w:pPr>
      <w:r>
        <w:rPr>
          <w:rFonts w:hint="eastAsia" w:ascii="仿宋" w:hAnsi="仿宋" w:eastAsia="仿宋"/>
          <w:sz w:val="32"/>
          <w:szCs w:val="32"/>
          <w:lang w:val="en-US" w:eastAsia="zh-CN"/>
        </w:rPr>
        <w:t>3.时效指标</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eastAsia="zh-CN"/>
        </w:rPr>
        <w:t>（</w:t>
      </w:r>
      <w:r>
        <w:rPr>
          <w:rFonts w:hint="eastAsia" w:ascii="仿宋" w:hAnsi="仿宋" w:eastAsia="仿宋"/>
          <w:sz w:val="32"/>
          <w:szCs w:val="32"/>
          <w:lang w:val="en-US" w:eastAsia="zh-CN"/>
        </w:rPr>
        <w:t>1</w:t>
      </w:r>
      <w:r>
        <w:rPr>
          <w:rFonts w:hint="eastAsia" w:ascii="仿宋" w:hAnsi="仿宋" w:eastAsia="仿宋"/>
          <w:sz w:val="32"/>
          <w:szCs w:val="32"/>
          <w:lang w:eastAsia="zh-CN"/>
        </w:rPr>
        <w:t>）</w:t>
      </w:r>
      <w:r>
        <w:rPr>
          <w:rFonts w:hint="eastAsia" w:ascii="仿宋" w:hAnsi="仿宋" w:eastAsia="仿宋"/>
          <w:sz w:val="32"/>
          <w:szCs w:val="32"/>
        </w:rPr>
        <w:t>信访事项</w:t>
      </w:r>
      <w:r>
        <w:rPr>
          <w:rFonts w:hint="eastAsia" w:ascii="仿宋" w:hAnsi="仿宋" w:eastAsia="仿宋"/>
          <w:sz w:val="32"/>
          <w:szCs w:val="32"/>
          <w:lang w:val="en-US" w:eastAsia="zh-CN"/>
        </w:rPr>
        <w:t>15</w:t>
      </w:r>
      <w:r>
        <w:rPr>
          <w:rFonts w:hint="eastAsia" w:ascii="仿宋" w:hAnsi="仿宋" w:eastAsia="仿宋"/>
          <w:sz w:val="32"/>
          <w:szCs w:val="32"/>
        </w:rPr>
        <w:t>个工作日内受理</w:t>
      </w:r>
      <w:r>
        <w:rPr>
          <w:rFonts w:hint="eastAsia" w:ascii="仿宋" w:hAnsi="仿宋" w:eastAsia="仿宋"/>
          <w:sz w:val="32"/>
          <w:szCs w:val="32"/>
          <w:lang w:val="en-US" w:eastAsia="zh-CN"/>
        </w:rPr>
        <w:t>.</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eastAsia="zh-CN"/>
        </w:rPr>
        <w:t>（</w:t>
      </w:r>
      <w:r>
        <w:rPr>
          <w:rFonts w:hint="eastAsia" w:ascii="仿宋" w:hAnsi="仿宋" w:eastAsia="仿宋"/>
          <w:sz w:val="32"/>
          <w:szCs w:val="32"/>
          <w:lang w:val="en-US" w:eastAsia="zh-CN"/>
        </w:rPr>
        <w:t>2</w:t>
      </w:r>
      <w:r>
        <w:rPr>
          <w:rFonts w:hint="eastAsia" w:ascii="仿宋" w:hAnsi="仿宋" w:eastAsia="仿宋"/>
          <w:sz w:val="32"/>
          <w:szCs w:val="32"/>
          <w:lang w:eastAsia="zh-CN"/>
        </w:rPr>
        <w:t>）</w:t>
      </w:r>
      <w:r>
        <w:rPr>
          <w:rFonts w:hint="eastAsia" w:ascii="仿宋" w:hAnsi="仿宋" w:eastAsia="仿宋"/>
          <w:sz w:val="32"/>
          <w:szCs w:val="32"/>
        </w:rPr>
        <w:t>一般事项</w:t>
      </w:r>
      <w:r>
        <w:rPr>
          <w:rFonts w:hint="eastAsia" w:ascii="仿宋" w:hAnsi="仿宋" w:eastAsia="仿宋"/>
          <w:sz w:val="32"/>
          <w:szCs w:val="32"/>
          <w:lang w:val="en-US" w:eastAsia="zh-CN"/>
        </w:rPr>
        <w:t>6</w:t>
      </w:r>
      <w:r>
        <w:rPr>
          <w:rFonts w:hint="eastAsia" w:ascii="仿宋" w:hAnsi="仿宋" w:eastAsia="仿宋"/>
          <w:sz w:val="32"/>
          <w:szCs w:val="32"/>
        </w:rPr>
        <w:t>0日内办结；</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（二）效益指标</w:t>
      </w:r>
    </w:p>
    <w:p>
      <w:pPr>
        <w:adjustRightInd w:val="0"/>
        <w:snapToGrid w:val="0"/>
        <w:spacing w:line="560" w:lineRule="exact"/>
        <w:ind w:firstLine="960" w:firstLineChars="300"/>
        <w:rPr>
          <w:rFonts w:hint="eastAsia" w:ascii="仿宋" w:hAnsi="仿宋" w:eastAsia="仿宋"/>
          <w:sz w:val="32"/>
          <w:szCs w:val="32"/>
        </w:rPr>
      </w:pPr>
      <w:r>
        <w:rPr>
          <w:rFonts w:hint="eastAsia" w:ascii="仿宋" w:hAnsi="仿宋" w:eastAsia="仿宋"/>
          <w:sz w:val="32"/>
          <w:szCs w:val="32"/>
        </w:rPr>
        <w:t>1. 社会效益</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w:t>
      </w:r>
      <w:r>
        <w:rPr>
          <w:rFonts w:hint="eastAsia" w:ascii="仿宋" w:hAnsi="仿宋" w:eastAsia="仿宋"/>
          <w:sz w:val="32"/>
          <w:szCs w:val="32"/>
          <w:lang w:val="en-US" w:eastAsia="zh-CN"/>
        </w:rPr>
        <w:t>1</w:t>
      </w:r>
      <w:r>
        <w:rPr>
          <w:rFonts w:hint="eastAsia" w:ascii="仿宋" w:hAnsi="仿宋" w:eastAsia="仿宋"/>
          <w:sz w:val="32"/>
          <w:szCs w:val="32"/>
          <w:lang w:eastAsia="zh-CN"/>
        </w:rPr>
        <w:t>）</w:t>
      </w:r>
      <w:r>
        <w:rPr>
          <w:rFonts w:hint="eastAsia" w:ascii="仿宋" w:hAnsi="仿宋" w:eastAsia="仿宋"/>
          <w:sz w:val="32"/>
          <w:szCs w:val="32"/>
        </w:rPr>
        <w:t>群众合法权益有效维护：效果明显</w:t>
      </w:r>
    </w:p>
    <w:p>
      <w:pPr>
        <w:adjustRightInd w:val="0"/>
        <w:snapToGrid w:val="0"/>
        <w:spacing w:line="560" w:lineRule="exact"/>
        <w:ind w:firstLine="640" w:firstLineChars="200"/>
        <w:rPr>
          <w:rFonts w:hint="eastAsia" w:ascii="仿宋" w:hAnsi="仿宋" w:eastAsia="仿宋"/>
          <w:i/>
          <w:iCs/>
          <w:sz w:val="32"/>
          <w:szCs w:val="32"/>
        </w:rPr>
      </w:pPr>
      <w:r>
        <w:rPr>
          <w:rFonts w:hint="eastAsia" w:ascii="仿宋" w:hAnsi="仿宋" w:eastAsia="仿宋"/>
          <w:sz w:val="32"/>
          <w:szCs w:val="32"/>
          <w:lang w:eastAsia="zh-CN"/>
        </w:rPr>
        <w:t>（</w:t>
      </w:r>
      <w:r>
        <w:rPr>
          <w:rFonts w:hint="eastAsia" w:ascii="仿宋" w:hAnsi="仿宋" w:eastAsia="仿宋"/>
          <w:sz w:val="32"/>
          <w:szCs w:val="32"/>
          <w:lang w:val="en-US" w:eastAsia="zh-CN"/>
        </w:rPr>
        <w:t>2</w:t>
      </w:r>
      <w:r>
        <w:rPr>
          <w:rFonts w:hint="eastAsia" w:ascii="仿宋" w:hAnsi="仿宋" w:eastAsia="仿宋"/>
          <w:sz w:val="32"/>
          <w:szCs w:val="32"/>
          <w:lang w:eastAsia="zh-CN"/>
        </w:rPr>
        <w:t>）</w:t>
      </w:r>
      <w:r>
        <w:rPr>
          <w:rFonts w:hint="eastAsia" w:ascii="仿宋" w:hAnsi="仿宋" w:eastAsia="仿宋"/>
          <w:sz w:val="32"/>
          <w:szCs w:val="32"/>
        </w:rPr>
        <w:t>信访秩序规范有序：良好</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w:t>
      </w:r>
      <w:r>
        <w:rPr>
          <w:rFonts w:hint="eastAsia" w:ascii="仿宋" w:hAnsi="仿宋" w:eastAsia="仿宋"/>
          <w:sz w:val="32"/>
          <w:szCs w:val="32"/>
          <w:lang w:val="en-US" w:eastAsia="zh-CN"/>
        </w:rPr>
        <w:t>3</w:t>
      </w:r>
      <w:r>
        <w:rPr>
          <w:rFonts w:hint="eastAsia" w:ascii="仿宋" w:hAnsi="仿宋" w:eastAsia="仿宋"/>
          <w:sz w:val="32"/>
          <w:szCs w:val="32"/>
          <w:lang w:eastAsia="zh-CN"/>
        </w:rPr>
        <w:t>）</w:t>
      </w:r>
      <w:r>
        <w:rPr>
          <w:rFonts w:hint="eastAsia" w:ascii="仿宋" w:hAnsi="仿宋" w:eastAsia="仿宋"/>
          <w:sz w:val="32"/>
          <w:szCs w:val="32"/>
        </w:rPr>
        <w:t>社会矛盾源头化解成效：明显</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w:t>
      </w:r>
      <w:r>
        <w:rPr>
          <w:rFonts w:hint="eastAsia" w:ascii="仿宋" w:hAnsi="仿宋" w:eastAsia="仿宋"/>
          <w:sz w:val="32"/>
          <w:szCs w:val="32"/>
          <w:lang w:val="en-US" w:eastAsia="zh-CN"/>
        </w:rPr>
        <w:t>4</w:t>
      </w:r>
      <w:r>
        <w:rPr>
          <w:rFonts w:hint="eastAsia" w:ascii="仿宋" w:hAnsi="仿宋" w:eastAsia="仿宋"/>
          <w:sz w:val="32"/>
          <w:szCs w:val="32"/>
          <w:lang w:eastAsia="zh-CN"/>
        </w:rPr>
        <w:t>）</w:t>
      </w:r>
      <w:r>
        <w:rPr>
          <w:rFonts w:hint="eastAsia" w:ascii="仿宋" w:hAnsi="仿宋" w:eastAsia="仿宋"/>
          <w:sz w:val="32"/>
          <w:szCs w:val="32"/>
        </w:rPr>
        <w:t>未发生因信访处置不当引发的重大群体性事件</w:t>
      </w:r>
    </w:p>
    <w:p>
      <w:pPr>
        <w:adjustRightInd w:val="0"/>
        <w:snapToGrid w:val="0"/>
        <w:spacing w:line="560" w:lineRule="exact"/>
        <w:ind w:firstLine="960" w:firstLineChars="300"/>
        <w:rPr>
          <w:rFonts w:hint="eastAsia" w:ascii="仿宋" w:hAnsi="仿宋" w:eastAsia="仿宋"/>
          <w:sz w:val="32"/>
          <w:szCs w:val="32"/>
        </w:rPr>
      </w:pPr>
      <w:r>
        <w:rPr>
          <w:rFonts w:hint="eastAsia" w:ascii="仿宋" w:hAnsi="仿宋" w:eastAsia="仿宋"/>
          <w:sz w:val="32"/>
          <w:szCs w:val="32"/>
        </w:rPr>
        <w:t>2. 管理效益</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w:t>
      </w:r>
      <w:r>
        <w:rPr>
          <w:rFonts w:hint="eastAsia" w:ascii="仿宋" w:hAnsi="仿宋" w:eastAsia="仿宋"/>
          <w:sz w:val="32"/>
          <w:szCs w:val="32"/>
          <w:lang w:val="en-US" w:eastAsia="zh-CN"/>
        </w:rPr>
        <w:t>1</w:t>
      </w:r>
      <w:r>
        <w:rPr>
          <w:rFonts w:hint="eastAsia" w:ascii="仿宋" w:hAnsi="仿宋" w:eastAsia="仿宋"/>
          <w:sz w:val="32"/>
          <w:szCs w:val="32"/>
          <w:lang w:eastAsia="zh-CN"/>
        </w:rPr>
        <w:t>）</w:t>
      </w:r>
      <w:r>
        <w:rPr>
          <w:rFonts w:hint="eastAsia" w:ascii="仿宋" w:hAnsi="仿宋" w:eastAsia="仿宋"/>
          <w:sz w:val="32"/>
          <w:szCs w:val="32"/>
        </w:rPr>
        <w:t>部门依法履职合规率：100%</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w:t>
      </w:r>
      <w:r>
        <w:rPr>
          <w:rFonts w:hint="eastAsia" w:ascii="仿宋" w:hAnsi="仿宋" w:eastAsia="仿宋"/>
          <w:sz w:val="32"/>
          <w:szCs w:val="32"/>
          <w:lang w:val="en-US" w:eastAsia="zh-CN"/>
        </w:rPr>
        <w:t>2</w:t>
      </w:r>
      <w:r>
        <w:rPr>
          <w:rFonts w:hint="eastAsia" w:ascii="仿宋" w:hAnsi="仿宋" w:eastAsia="仿宋"/>
          <w:sz w:val="32"/>
          <w:szCs w:val="32"/>
          <w:lang w:eastAsia="zh-CN"/>
        </w:rPr>
        <w:t>）</w:t>
      </w:r>
      <w:r>
        <w:rPr>
          <w:rFonts w:hint="eastAsia" w:ascii="仿宋" w:hAnsi="仿宋" w:eastAsia="仿宋"/>
          <w:sz w:val="32"/>
          <w:szCs w:val="32"/>
        </w:rPr>
        <w:t>内部管理制度健全并执行到位：是</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w:t>
      </w:r>
      <w:r>
        <w:rPr>
          <w:rFonts w:hint="eastAsia" w:ascii="仿宋" w:hAnsi="仿宋" w:eastAsia="仿宋"/>
          <w:sz w:val="32"/>
          <w:szCs w:val="32"/>
          <w:lang w:val="en-US" w:eastAsia="zh-CN"/>
        </w:rPr>
        <w:t>3</w:t>
      </w:r>
      <w:r>
        <w:rPr>
          <w:rFonts w:hint="eastAsia" w:ascii="仿宋" w:hAnsi="仿宋" w:eastAsia="仿宋"/>
          <w:sz w:val="32"/>
          <w:szCs w:val="32"/>
          <w:lang w:eastAsia="zh-CN"/>
        </w:rPr>
        <w:t>）</w:t>
      </w:r>
      <w:r>
        <w:rPr>
          <w:rFonts w:hint="eastAsia" w:ascii="仿宋" w:hAnsi="仿宋" w:eastAsia="仿宋"/>
          <w:sz w:val="32"/>
          <w:szCs w:val="32"/>
        </w:rPr>
        <w:t>干部职工业务培训覆盖率：100%</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w:t>
      </w:r>
      <w:r>
        <w:rPr>
          <w:rFonts w:hint="eastAsia" w:ascii="仿宋" w:hAnsi="仿宋" w:eastAsia="仿宋"/>
          <w:sz w:val="32"/>
          <w:szCs w:val="32"/>
          <w:lang w:val="en-US" w:eastAsia="zh-CN"/>
        </w:rPr>
        <w:t>4</w:t>
      </w:r>
      <w:r>
        <w:rPr>
          <w:rFonts w:hint="eastAsia" w:ascii="仿宋" w:hAnsi="仿宋" w:eastAsia="仿宋"/>
          <w:sz w:val="32"/>
          <w:szCs w:val="32"/>
          <w:lang w:eastAsia="zh-CN"/>
        </w:rPr>
        <w:t>）</w:t>
      </w:r>
      <w:r>
        <w:rPr>
          <w:rFonts w:hint="eastAsia" w:ascii="仿宋" w:hAnsi="仿宋" w:eastAsia="仿宋"/>
          <w:sz w:val="32"/>
          <w:szCs w:val="32"/>
        </w:rPr>
        <w:t>信息化支撑信访工作效率提升：明显提升</w:t>
      </w:r>
    </w:p>
    <w:p>
      <w:pPr>
        <w:adjustRightInd w:val="0"/>
        <w:snapToGrid w:val="0"/>
        <w:spacing w:line="560" w:lineRule="exact"/>
        <w:ind w:firstLine="960" w:firstLineChars="300"/>
        <w:rPr>
          <w:rFonts w:hint="eastAsia" w:ascii="仿宋" w:hAnsi="仿宋" w:eastAsia="仿宋"/>
          <w:sz w:val="32"/>
          <w:szCs w:val="32"/>
        </w:rPr>
      </w:pPr>
      <w:r>
        <w:rPr>
          <w:rFonts w:hint="eastAsia" w:ascii="仿宋" w:hAnsi="仿宋" w:eastAsia="仿宋"/>
          <w:sz w:val="32"/>
          <w:szCs w:val="32"/>
        </w:rPr>
        <w:t>3. 可持续影响</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w:t>
      </w:r>
      <w:r>
        <w:rPr>
          <w:rFonts w:hint="eastAsia" w:ascii="仿宋" w:hAnsi="仿宋" w:eastAsia="仿宋"/>
          <w:sz w:val="32"/>
          <w:szCs w:val="32"/>
          <w:lang w:val="en-US" w:eastAsia="zh-CN"/>
        </w:rPr>
        <w:t>1</w:t>
      </w:r>
      <w:r>
        <w:rPr>
          <w:rFonts w:hint="eastAsia" w:ascii="仿宋" w:hAnsi="仿宋" w:eastAsia="仿宋"/>
          <w:sz w:val="32"/>
          <w:szCs w:val="32"/>
          <w:lang w:eastAsia="zh-CN"/>
        </w:rPr>
        <w:t>）</w:t>
      </w:r>
      <w:r>
        <w:rPr>
          <w:rFonts w:hint="eastAsia" w:ascii="仿宋" w:hAnsi="仿宋" w:eastAsia="仿宋"/>
          <w:sz w:val="32"/>
          <w:szCs w:val="32"/>
        </w:rPr>
        <w:t>信访工作长效机制不断完善：持续完善</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w:t>
      </w:r>
      <w:r>
        <w:rPr>
          <w:rFonts w:hint="eastAsia" w:ascii="仿宋" w:hAnsi="仿宋" w:eastAsia="仿宋"/>
          <w:sz w:val="32"/>
          <w:szCs w:val="32"/>
          <w:lang w:val="en-US" w:eastAsia="zh-CN"/>
        </w:rPr>
        <w:t>2</w:t>
      </w:r>
      <w:r>
        <w:rPr>
          <w:rFonts w:hint="eastAsia" w:ascii="仿宋" w:hAnsi="仿宋" w:eastAsia="仿宋"/>
          <w:sz w:val="32"/>
          <w:szCs w:val="32"/>
          <w:lang w:eastAsia="zh-CN"/>
        </w:rPr>
        <w:t>）</w:t>
      </w:r>
      <w:r>
        <w:rPr>
          <w:rFonts w:hint="eastAsia" w:ascii="仿宋" w:hAnsi="仿宋" w:eastAsia="仿宋"/>
          <w:sz w:val="32"/>
          <w:szCs w:val="32"/>
        </w:rPr>
        <w:t>基层信访工作能力稳步提升：持续提升</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w:t>
      </w:r>
      <w:r>
        <w:rPr>
          <w:rFonts w:hint="eastAsia" w:ascii="仿宋" w:hAnsi="仿宋" w:eastAsia="仿宋"/>
          <w:sz w:val="32"/>
          <w:szCs w:val="32"/>
          <w:lang w:val="en-US" w:eastAsia="zh-CN"/>
        </w:rPr>
        <w:t>3</w:t>
      </w:r>
      <w:r>
        <w:rPr>
          <w:rFonts w:hint="eastAsia" w:ascii="仿宋" w:hAnsi="仿宋" w:eastAsia="仿宋"/>
          <w:sz w:val="32"/>
          <w:szCs w:val="32"/>
          <w:lang w:eastAsia="zh-CN"/>
        </w:rPr>
        <w:t>）</w:t>
      </w:r>
      <w:r>
        <w:rPr>
          <w:rFonts w:hint="eastAsia" w:ascii="仿宋" w:hAnsi="仿宋" w:eastAsia="仿宋"/>
          <w:sz w:val="32"/>
          <w:szCs w:val="32"/>
        </w:rPr>
        <w:t>群众依法信访意识不断增强：逐步增强</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（三）满意度指标</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ab/>
      </w:r>
      <w:r>
        <w:rPr>
          <w:rFonts w:hint="eastAsia" w:ascii="仿宋" w:hAnsi="仿宋" w:eastAsia="仿宋"/>
          <w:sz w:val="32"/>
          <w:szCs w:val="32"/>
        </w:rPr>
        <w:t>1.</w:t>
      </w:r>
      <w:r>
        <w:rPr>
          <w:rFonts w:hint="eastAsia" w:ascii="仿宋" w:hAnsi="仿宋" w:eastAsia="仿宋"/>
          <w:sz w:val="32"/>
          <w:szCs w:val="32"/>
        </w:rPr>
        <w:tab/>
      </w:r>
      <w:r>
        <w:rPr>
          <w:rFonts w:hint="eastAsia" w:ascii="仿宋" w:hAnsi="仿宋" w:eastAsia="仿宋"/>
          <w:sz w:val="32"/>
          <w:szCs w:val="32"/>
        </w:rPr>
        <w:t>信访群众满意度：≥90%</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ab/>
      </w:r>
      <w:r>
        <w:rPr>
          <w:rFonts w:hint="eastAsia" w:ascii="仿宋" w:hAnsi="仿宋" w:eastAsia="仿宋"/>
          <w:sz w:val="32"/>
          <w:szCs w:val="32"/>
        </w:rPr>
        <w:t>2.</w:t>
      </w:r>
      <w:r>
        <w:rPr>
          <w:rFonts w:hint="eastAsia" w:ascii="仿宋" w:hAnsi="仿宋" w:eastAsia="仿宋"/>
          <w:sz w:val="32"/>
          <w:szCs w:val="32"/>
        </w:rPr>
        <w:tab/>
      </w:r>
      <w:r>
        <w:rPr>
          <w:rFonts w:hint="eastAsia" w:ascii="仿宋" w:hAnsi="仿宋" w:eastAsia="仿宋"/>
          <w:sz w:val="32"/>
          <w:szCs w:val="32"/>
        </w:rPr>
        <w:t>上级主管部门评价满意度：≥95%</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ab/>
      </w:r>
      <w:r>
        <w:rPr>
          <w:rFonts w:hint="eastAsia" w:ascii="仿宋" w:hAnsi="仿宋" w:eastAsia="仿宋"/>
          <w:sz w:val="32"/>
          <w:szCs w:val="32"/>
        </w:rPr>
        <w:t>3.</w:t>
      </w:r>
      <w:r>
        <w:rPr>
          <w:rFonts w:hint="eastAsia" w:ascii="仿宋" w:hAnsi="仿宋" w:eastAsia="仿宋"/>
          <w:sz w:val="32"/>
          <w:szCs w:val="32"/>
        </w:rPr>
        <w:tab/>
      </w:r>
      <w:r>
        <w:rPr>
          <w:rFonts w:hint="eastAsia" w:ascii="仿宋" w:hAnsi="仿宋" w:eastAsia="仿宋"/>
          <w:sz w:val="32"/>
          <w:szCs w:val="32"/>
        </w:rPr>
        <w:t>相关部门协作满意度：≥90%</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（四）成本与预算管理指标</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ab/>
      </w:r>
      <w:r>
        <w:rPr>
          <w:rFonts w:hint="eastAsia" w:ascii="仿宋" w:hAnsi="仿宋" w:eastAsia="仿宋"/>
          <w:sz w:val="32"/>
          <w:szCs w:val="32"/>
        </w:rPr>
        <w:t>1.</w:t>
      </w:r>
      <w:r>
        <w:rPr>
          <w:rFonts w:hint="eastAsia" w:ascii="仿宋" w:hAnsi="仿宋" w:eastAsia="仿宋"/>
          <w:sz w:val="32"/>
          <w:szCs w:val="32"/>
        </w:rPr>
        <w:tab/>
      </w:r>
      <w:r>
        <w:rPr>
          <w:rFonts w:hint="eastAsia" w:ascii="仿宋" w:hAnsi="仿宋" w:eastAsia="仿宋"/>
          <w:sz w:val="32"/>
          <w:szCs w:val="32"/>
        </w:rPr>
        <w:t>预算执行率：≥9</w:t>
      </w:r>
      <w:r>
        <w:rPr>
          <w:rFonts w:hint="eastAsia" w:ascii="仿宋" w:hAnsi="仿宋" w:eastAsia="仿宋"/>
          <w:sz w:val="32"/>
          <w:szCs w:val="32"/>
          <w:lang w:val="en-US" w:eastAsia="zh-CN"/>
        </w:rPr>
        <w:t>9</w:t>
      </w:r>
      <w:bookmarkStart w:id="1" w:name="_GoBack"/>
      <w:bookmarkEnd w:id="1"/>
      <w:r>
        <w:rPr>
          <w:rFonts w:hint="eastAsia" w:ascii="仿宋" w:hAnsi="仿宋" w:eastAsia="仿宋"/>
          <w:sz w:val="32"/>
          <w:szCs w:val="32"/>
        </w:rPr>
        <w:t>%</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ab/>
      </w:r>
      <w:r>
        <w:rPr>
          <w:rFonts w:hint="eastAsia" w:ascii="仿宋" w:hAnsi="仿宋" w:eastAsia="仿宋"/>
          <w:sz w:val="32"/>
          <w:szCs w:val="32"/>
        </w:rPr>
        <w:t>2.</w:t>
      </w:r>
      <w:r>
        <w:rPr>
          <w:rFonts w:hint="eastAsia" w:ascii="仿宋" w:hAnsi="仿宋" w:eastAsia="仿宋"/>
          <w:sz w:val="32"/>
          <w:szCs w:val="32"/>
        </w:rPr>
        <w:tab/>
      </w:r>
      <w:r>
        <w:rPr>
          <w:rFonts w:hint="eastAsia" w:ascii="仿宋" w:hAnsi="仿宋" w:eastAsia="仿宋"/>
          <w:sz w:val="32"/>
          <w:szCs w:val="32"/>
        </w:rPr>
        <w:t>“三公”经费控制：不超预算</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ab/>
      </w:r>
      <w:r>
        <w:rPr>
          <w:rFonts w:hint="eastAsia" w:ascii="仿宋" w:hAnsi="仿宋" w:eastAsia="仿宋"/>
          <w:sz w:val="32"/>
          <w:szCs w:val="32"/>
        </w:rPr>
        <w:t>3.</w:t>
      </w:r>
      <w:r>
        <w:rPr>
          <w:rFonts w:hint="eastAsia" w:ascii="仿宋" w:hAnsi="仿宋" w:eastAsia="仿宋"/>
          <w:sz w:val="32"/>
          <w:szCs w:val="32"/>
        </w:rPr>
        <w:tab/>
      </w:r>
      <w:r>
        <w:rPr>
          <w:rFonts w:hint="eastAsia" w:ascii="仿宋" w:hAnsi="仿宋" w:eastAsia="仿宋"/>
          <w:sz w:val="32"/>
          <w:szCs w:val="32"/>
        </w:rPr>
        <w:t>资金使用合规性：合规</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ab/>
      </w:r>
      <w:r>
        <w:rPr>
          <w:rFonts w:hint="eastAsia" w:ascii="仿宋" w:hAnsi="仿宋" w:eastAsia="仿宋"/>
          <w:sz w:val="32"/>
          <w:szCs w:val="32"/>
        </w:rPr>
        <w:t>4.</w:t>
      </w:r>
      <w:r>
        <w:rPr>
          <w:rFonts w:hint="eastAsia" w:ascii="仿宋" w:hAnsi="仿宋" w:eastAsia="仿宋"/>
          <w:sz w:val="32"/>
          <w:szCs w:val="32"/>
        </w:rPr>
        <w:tab/>
      </w:r>
      <w:r>
        <w:rPr>
          <w:rFonts w:hint="eastAsia" w:ascii="仿宋" w:hAnsi="仿宋" w:eastAsia="仿宋"/>
          <w:sz w:val="32"/>
          <w:szCs w:val="32"/>
        </w:rPr>
        <w:t>政府采购、资产管理规范：规范</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pPr>
        <w:widowControl w:val="0"/>
        <w:wordWrap/>
        <w:spacing w:line="560" w:lineRule="exact"/>
        <w:ind w:left="0" w:leftChars="0" w:right="0" w:firstLine="640"/>
        <w:textAlignment w:val="auto"/>
        <w:outlineLvl w:val="9"/>
        <w:rPr>
          <w:rFonts w:hint="eastAsia" w:ascii="仿宋" w:hAnsi="仿宋" w:eastAsia="仿宋"/>
          <w:sz w:val="32"/>
          <w:szCs w:val="32"/>
        </w:rPr>
      </w:pPr>
      <w:r>
        <w:rPr>
          <w:rFonts w:hint="eastAsia" w:ascii="仿宋" w:hAnsi="仿宋" w:eastAsia="仿宋"/>
          <w:sz w:val="32"/>
          <w:szCs w:val="32"/>
        </w:rPr>
        <w:t>我局对该项目经费进行核查，对相关文件、申报资料等资料进行收集整理，查询相关记账凭证进行核实、汇总，结合具体项目内容，设计绩效评价指标体系，真实、完整、全面的评价项目的实施纪完成情况。</w:t>
      </w:r>
    </w:p>
    <w:p>
      <w:pPr>
        <w:numPr>
          <w:ilvl w:val="0"/>
          <w:numId w:val="2"/>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pPr>
        <w:widowControl w:val="0"/>
        <w:wordWrap/>
        <w:spacing w:line="560" w:lineRule="exact"/>
        <w:ind w:left="0" w:leftChars="0" w:right="0" w:firstLine="640"/>
        <w:textAlignment w:val="auto"/>
        <w:outlineLvl w:val="9"/>
        <w:rPr>
          <w:rFonts w:hint="eastAsia" w:ascii="仿宋" w:hAnsi="仿宋" w:eastAsia="仿宋"/>
          <w:sz w:val="32"/>
          <w:szCs w:val="32"/>
        </w:rPr>
      </w:pPr>
      <w:r>
        <w:rPr>
          <w:rFonts w:hint="eastAsia" w:ascii="仿宋" w:hAnsi="仿宋" w:eastAsia="仿宋"/>
          <w:sz w:val="32"/>
          <w:szCs w:val="32"/>
        </w:rPr>
        <w:t>本次绩效采用资料整理法，通过对相关记账凭证等财务资料查阅、核实、汇总分析，评价项目资金使用的规范性、支出范围的相关性和合理性等指标。通过以上方法，在资金使用方面，</w:t>
      </w:r>
      <w:r>
        <w:rPr>
          <w:rFonts w:hint="eastAsia" w:ascii="仿宋" w:hAnsi="仿宋" w:eastAsia="仿宋"/>
          <w:sz w:val="32"/>
          <w:szCs w:val="32"/>
          <w:lang w:eastAsia="zh-CN"/>
        </w:rPr>
        <w:t>严格</w:t>
      </w:r>
      <w:r>
        <w:rPr>
          <w:rFonts w:hint="eastAsia" w:ascii="仿宋" w:hAnsi="仿宋" w:eastAsia="仿宋"/>
          <w:sz w:val="32"/>
          <w:szCs w:val="32"/>
        </w:rPr>
        <w:t>按照</w:t>
      </w:r>
      <w:r>
        <w:rPr>
          <w:rFonts w:hint="eastAsia" w:ascii="仿宋" w:hAnsi="仿宋" w:eastAsia="仿宋"/>
          <w:sz w:val="32"/>
          <w:szCs w:val="32"/>
          <w:lang w:eastAsia="zh-CN"/>
        </w:rPr>
        <w:t>财务制度支付，</w:t>
      </w:r>
      <w:r>
        <w:rPr>
          <w:rFonts w:hint="eastAsia" w:ascii="仿宋" w:hAnsi="仿宋" w:eastAsia="仿宋"/>
          <w:sz w:val="32"/>
          <w:szCs w:val="32"/>
        </w:rPr>
        <w:t>符合项目资金使用的规范性、支出范围的相关性和合理性等指标。</w:t>
      </w:r>
    </w:p>
    <w:p>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pPr>
        <w:numPr>
          <w:ilvl w:val="0"/>
          <w:numId w:val="3"/>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pPr>
        <w:spacing w:line="520" w:lineRule="exact"/>
        <w:ind w:firstLine="640" w:firstLineChars="200"/>
        <w:jc w:val="left"/>
        <w:rPr>
          <w:rFonts w:ascii="仿宋" w:hAnsi="仿宋" w:eastAsia="仿宋" w:cs="Times New Roman"/>
          <w:color w:val="000000"/>
          <w:sz w:val="32"/>
          <w:szCs w:val="32"/>
        </w:rPr>
      </w:pPr>
      <w:r>
        <w:rPr>
          <w:rFonts w:hint="eastAsia" w:ascii="仿宋" w:hAnsi="仿宋" w:eastAsia="仿宋" w:cs="Times New Roman"/>
          <w:color w:val="000000"/>
          <w:sz w:val="32"/>
          <w:szCs w:val="32"/>
          <w:lang w:eastAsia="zh-CN"/>
        </w:rPr>
        <w:t>畅通</w:t>
      </w:r>
      <w:r>
        <w:rPr>
          <w:rFonts w:hint="eastAsia" w:ascii="仿宋" w:hAnsi="仿宋" w:eastAsia="仿宋" w:cs="Times New Roman"/>
          <w:color w:val="000000"/>
          <w:sz w:val="32"/>
          <w:szCs w:val="32"/>
        </w:rPr>
        <w:t>信访渠道，减少信访案件，维护社会和谐稳定。提高信访事项办理质量和效率，妥善处置非正常访，维护社会大局和谐稳定。推动重要信访事项解决，规范信访事项办理、终结。用好特殊疑难信访问题专项资金。对生活确实困难的信访人进行救助。进一步提高信访干部业务能力；吸收可行建议，改进信访工作；提高信访信息化应用水平，实现办公自动化、网络化智能化。保障机要邮件正常传递；确保相关会议正常召开，维护好群众工作中心正常运行，进一步提高信访干部业务能力；吸收可行建议，改进信访工作；提高信访信息化应用水平，实现办公自动化、网络化智能化。保障机要邮件正常传递和信访接待楼正常运转；确保相关会议正常召开。</w:t>
      </w:r>
    </w:p>
    <w:p>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pPr>
        <w:spacing w:line="520" w:lineRule="exact"/>
        <w:ind w:firstLine="640" w:firstLineChars="200"/>
        <w:jc w:val="left"/>
        <w:rPr>
          <w:rFonts w:ascii="仿宋" w:hAnsi="仿宋" w:eastAsia="仿宋" w:cs="Times New Roman"/>
          <w:color w:val="000000"/>
          <w:sz w:val="32"/>
          <w:szCs w:val="32"/>
        </w:rPr>
      </w:pPr>
      <w:r>
        <w:rPr>
          <w:rFonts w:hint="eastAsia" w:ascii="仿宋" w:hAnsi="仿宋" w:eastAsia="仿宋" w:cs="Times New Roman"/>
          <w:color w:val="000000"/>
          <w:sz w:val="32"/>
          <w:szCs w:val="32"/>
        </w:rPr>
        <w:t>1、信访问题处理</w:t>
      </w:r>
    </w:p>
    <w:p>
      <w:pPr>
        <w:spacing w:line="520" w:lineRule="exact"/>
        <w:ind w:firstLine="640" w:firstLineChars="200"/>
        <w:jc w:val="left"/>
        <w:rPr>
          <w:rFonts w:ascii="仿宋" w:hAnsi="仿宋" w:eastAsia="仿宋" w:cs="Times New Roman"/>
          <w:color w:val="000000"/>
          <w:sz w:val="32"/>
          <w:szCs w:val="32"/>
        </w:rPr>
      </w:pPr>
      <w:r>
        <w:rPr>
          <w:rFonts w:hint="eastAsia" w:ascii="仿宋" w:hAnsi="仿宋" w:eastAsia="仿宋" w:cs="Times New Roman"/>
          <w:color w:val="000000"/>
          <w:sz w:val="32"/>
          <w:szCs w:val="32"/>
        </w:rPr>
        <w:t>绩效目标：畅通信访渠道，减少信访案件，维护社会和谐稳定。绩效指标：负责正常信访、非访、突发性及群体性事件的办理；提供相关服务保障；负责处理全区群众进京上访；信访事项督查、复查复核、听证；负责区委区政府交办的其他事项。</w:t>
      </w:r>
    </w:p>
    <w:p>
      <w:pPr>
        <w:spacing w:line="520" w:lineRule="exact"/>
        <w:ind w:firstLine="640" w:firstLineChars="200"/>
        <w:jc w:val="left"/>
        <w:rPr>
          <w:rFonts w:ascii="仿宋" w:hAnsi="仿宋" w:eastAsia="仿宋" w:cs="Times New Roman"/>
          <w:color w:val="000000"/>
          <w:sz w:val="32"/>
          <w:szCs w:val="32"/>
        </w:rPr>
      </w:pPr>
      <w:r>
        <w:rPr>
          <w:rFonts w:hint="eastAsia" w:ascii="仿宋" w:hAnsi="仿宋" w:eastAsia="仿宋" w:cs="Times New Roman"/>
          <w:color w:val="000000"/>
          <w:sz w:val="32"/>
          <w:szCs w:val="32"/>
        </w:rPr>
        <w:t>2、信访业务办理</w:t>
      </w:r>
    </w:p>
    <w:p>
      <w:pPr>
        <w:spacing w:line="520" w:lineRule="exact"/>
        <w:ind w:firstLine="640" w:firstLineChars="200"/>
        <w:jc w:val="left"/>
        <w:rPr>
          <w:rFonts w:ascii="仿宋" w:hAnsi="仿宋" w:eastAsia="仿宋" w:cs="Times New Roman"/>
          <w:color w:val="000000"/>
          <w:sz w:val="32"/>
          <w:szCs w:val="32"/>
        </w:rPr>
      </w:pPr>
      <w:r>
        <w:rPr>
          <w:rFonts w:hint="eastAsia" w:ascii="仿宋" w:hAnsi="仿宋" w:eastAsia="仿宋" w:cs="Times New Roman"/>
          <w:color w:val="000000"/>
          <w:sz w:val="32"/>
          <w:szCs w:val="32"/>
        </w:rPr>
        <w:t>绩效目标：畅通信访渠道，提高信访事项办理质量和效率</w:t>
      </w:r>
    </w:p>
    <w:p>
      <w:pPr>
        <w:spacing w:line="520" w:lineRule="exact"/>
        <w:ind w:firstLine="640" w:firstLineChars="200"/>
        <w:jc w:val="left"/>
        <w:rPr>
          <w:rFonts w:ascii="仿宋" w:hAnsi="仿宋" w:eastAsia="仿宋" w:cs="Times New Roman"/>
          <w:color w:val="000000"/>
          <w:sz w:val="32"/>
          <w:szCs w:val="32"/>
        </w:rPr>
      </w:pPr>
      <w:r>
        <w:rPr>
          <w:rFonts w:hint="eastAsia" w:ascii="仿宋" w:hAnsi="仿宋" w:eastAsia="仿宋" w:cs="Times New Roman"/>
          <w:color w:val="000000"/>
          <w:sz w:val="32"/>
          <w:szCs w:val="32"/>
        </w:rPr>
        <w:t>绩效指标：办理人民群众来信、来访、网上信访。协助上级单位处理本区群众进京上访；重大活动期间的正常上访和越级上访工作。</w:t>
      </w:r>
    </w:p>
    <w:p>
      <w:pPr>
        <w:spacing w:line="520" w:lineRule="exact"/>
        <w:ind w:firstLine="640" w:firstLineChars="200"/>
        <w:jc w:val="left"/>
        <w:rPr>
          <w:rFonts w:ascii="仿宋" w:hAnsi="仿宋" w:eastAsia="仿宋" w:cs="Times New Roman"/>
          <w:color w:val="000000"/>
          <w:sz w:val="32"/>
          <w:szCs w:val="32"/>
        </w:rPr>
      </w:pPr>
      <w:r>
        <w:rPr>
          <w:rFonts w:hint="eastAsia" w:ascii="仿宋" w:hAnsi="仿宋" w:eastAsia="仿宋" w:cs="Times New Roman"/>
          <w:color w:val="000000"/>
          <w:sz w:val="32"/>
          <w:szCs w:val="32"/>
        </w:rPr>
        <w:t>3、处置非访、突发性及群体性事件</w:t>
      </w:r>
    </w:p>
    <w:p>
      <w:pPr>
        <w:spacing w:line="520" w:lineRule="exact"/>
        <w:ind w:firstLine="640" w:firstLineChars="200"/>
        <w:jc w:val="left"/>
        <w:rPr>
          <w:rFonts w:ascii="仿宋" w:hAnsi="仿宋" w:eastAsia="仿宋" w:cs="Times New Roman"/>
          <w:color w:val="000000"/>
          <w:sz w:val="32"/>
          <w:szCs w:val="32"/>
        </w:rPr>
      </w:pPr>
      <w:r>
        <w:rPr>
          <w:rFonts w:hint="eastAsia" w:ascii="仿宋" w:hAnsi="仿宋" w:eastAsia="仿宋" w:cs="Times New Roman"/>
          <w:color w:val="000000"/>
          <w:sz w:val="32"/>
          <w:szCs w:val="32"/>
        </w:rPr>
        <w:t>绩效目标：妥善处置非正常访，维护社会大局和谐稳定</w:t>
      </w:r>
    </w:p>
    <w:p>
      <w:pPr>
        <w:spacing w:line="520" w:lineRule="exact"/>
        <w:ind w:firstLine="640" w:firstLineChars="200"/>
        <w:jc w:val="left"/>
        <w:rPr>
          <w:rFonts w:ascii="仿宋" w:hAnsi="仿宋" w:eastAsia="仿宋" w:cs="Times New Roman"/>
          <w:color w:val="000000"/>
          <w:sz w:val="32"/>
          <w:szCs w:val="32"/>
        </w:rPr>
      </w:pPr>
      <w:r>
        <w:rPr>
          <w:rFonts w:hint="eastAsia" w:ascii="仿宋" w:hAnsi="仿宋" w:eastAsia="仿宋" w:cs="Times New Roman"/>
          <w:color w:val="000000"/>
          <w:sz w:val="32"/>
          <w:szCs w:val="32"/>
        </w:rPr>
        <w:t>绩效指标：协助公安机关维护重点区域的正常工作秩序；处置影响社会政治稳定的各类非访、突发性、群体性事件；负责组织协调、稳控劝返并做好服务保障工作；重大敏感时期本地和驻京信访保障工作；参加市里统一安排的驻京保障工作，根据我区信访形势，做好区里要求的长期驻京值班信访稳定保障工作，处理全区群众进京非访工作</w:t>
      </w:r>
    </w:p>
    <w:p>
      <w:pPr>
        <w:spacing w:line="520" w:lineRule="exact"/>
        <w:ind w:firstLine="640" w:firstLineChars="200"/>
        <w:jc w:val="left"/>
        <w:rPr>
          <w:rFonts w:ascii="仿宋" w:hAnsi="仿宋" w:eastAsia="仿宋" w:cs="Times New Roman"/>
          <w:color w:val="000000"/>
          <w:sz w:val="32"/>
          <w:szCs w:val="32"/>
        </w:rPr>
      </w:pPr>
      <w:r>
        <w:rPr>
          <w:rFonts w:hint="eastAsia" w:ascii="仿宋" w:hAnsi="仿宋" w:eastAsia="仿宋" w:cs="Times New Roman"/>
          <w:color w:val="000000"/>
          <w:sz w:val="32"/>
          <w:szCs w:val="32"/>
        </w:rPr>
        <w:t>4、信访救助</w:t>
      </w:r>
    </w:p>
    <w:p>
      <w:pPr>
        <w:spacing w:line="520" w:lineRule="exact"/>
        <w:ind w:firstLine="640" w:firstLineChars="200"/>
        <w:jc w:val="left"/>
        <w:rPr>
          <w:rFonts w:ascii="仿宋" w:hAnsi="仿宋" w:eastAsia="仿宋" w:cs="Times New Roman"/>
          <w:color w:val="000000"/>
          <w:sz w:val="32"/>
          <w:szCs w:val="32"/>
        </w:rPr>
      </w:pPr>
      <w:r>
        <w:rPr>
          <w:rFonts w:hint="eastAsia" w:ascii="仿宋" w:hAnsi="仿宋" w:eastAsia="仿宋" w:cs="Times New Roman"/>
          <w:color w:val="000000"/>
          <w:sz w:val="32"/>
          <w:szCs w:val="32"/>
        </w:rPr>
        <w:t>绩效目标：对生活确实困难的信访人进行救助。</w:t>
      </w:r>
    </w:p>
    <w:p>
      <w:pPr>
        <w:spacing w:line="520" w:lineRule="exact"/>
        <w:ind w:firstLine="640" w:firstLineChars="200"/>
        <w:jc w:val="left"/>
        <w:rPr>
          <w:rFonts w:ascii="仿宋" w:hAnsi="仿宋" w:eastAsia="仿宋" w:cs="Times New Roman"/>
          <w:color w:val="000000"/>
          <w:sz w:val="32"/>
          <w:szCs w:val="32"/>
        </w:rPr>
      </w:pPr>
      <w:r>
        <w:rPr>
          <w:rFonts w:hint="eastAsia" w:ascii="仿宋" w:hAnsi="仿宋" w:eastAsia="仿宋" w:cs="Times New Roman"/>
          <w:color w:val="000000"/>
          <w:sz w:val="32"/>
          <w:szCs w:val="32"/>
        </w:rPr>
        <w:t>绩效指标：对生活确实困难的信访人进行救助</w:t>
      </w:r>
    </w:p>
    <w:p>
      <w:pPr>
        <w:spacing w:line="520" w:lineRule="exact"/>
        <w:ind w:firstLine="640" w:firstLineChars="200"/>
        <w:jc w:val="left"/>
        <w:rPr>
          <w:rFonts w:ascii="仿宋" w:hAnsi="仿宋" w:eastAsia="仿宋" w:cs="Times New Roman"/>
          <w:color w:val="000000"/>
          <w:sz w:val="32"/>
          <w:szCs w:val="32"/>
        </w:rPr>
      </w:pPr>
      <w:r>
        <w:rPr>
          <w:rFonts w:hint="eastAsia" w:ascii="仿宋" w:hAnsi="仿宋" w:eastAsia="仿宋" w:cs="Times New Roman"/>
          <w:color w:val="000000"/>
          <w:sz w:val="32"/>
          <w:szCs w:val="32"/>
        </w:rPr>
        <w:t>5、信访事务管理</w:t>
      </w:r>
    </w:p>
    <w:p>
      <w:pPr>
        <w:spacing w:line="520" w:lineRule="exact"/>
        <w:ind w:firstLine="640" w:firstLineChars="200"/>
        <w:jc w:val="left"/>
        <w:rPr>
          <w:rFonts w:ascii="仿宋" w:hAnsi="仿宋" w:eastAsia="仿宋" w:cs="Times New Roman"/>
          <w:color w:val="000000"/>
          <w:sz w:val="32"/>
          <w:szCs w:val="32"/>
        </w:rPr>
      </w:pPr>
      <w:r>
        <w:rPr>
          <w:rFonts w:hint="eastAsia" w:ascii="仿宋" w:hAnsi="仿宋" w:eastAsia="仿宋" w:cs="Times New Roman"/>
          <w:color w:val="000000"/>
          <w:sz w:val="32"/>
          <w:szCs w:val="32"/>
        </w:rPr>
        <w:t>绩效目标：进一步提高信访干部业务能力；吸收可行建议，改进信访工作；提高信访信息化应用水平，实现办公自动化、网络化智能化。保障机要邮件正常传递；确保相关会议正常召开，维护好群众工作中心正常运行</w:t>
      </w:r>
    </w:p>
    <w:p>
      <w:pPr>
        <w:spacing w:line="520" w:lineRule="exact"/>
        <w:ind w:firstLine="640" w:firstLineChars="200"/>
        <w:jc w:val="left"/>
        <w:outlineLvl w:val="0"/>
        <w:rPr>
          <w:rFonts w:ascii="仿宋" w:hAnsi="仿宋" w:eastAsia="仿宋" w:cs="Times New Roman"/>
          <w:color w:val="000000"/>
          <w:sz w:val="32"/>
          <w:szCs w:val="32"/>
        </w:rPr>
      </w:pPr>
      <w:r>
        <w:rPr>
          <w:rFonts w:hint="eastAsia" w:ascii="仿宋" w:hAnsi="仿宋" w:eastAsia="仿宋" w:cs="Times New Roman"/>
          <w:color w:val="000000"/>
          <w:sz w:val="32"/>
          <w:szCs w:val="32"/>
        </w:rPr>
        <w:t>绩效指标：拟定信访工作方针政策；调研提出信访工作对策建议；督促检查和指导全区信访工作；机关日常工作</w:t>
      </w:r>
    </w:p>
    <w:p>
      <w:pPr>
        <w:spacing w:line="520" w:lineRule="exact"/>
        <w:ind w:firstLine="640" w:firstLineChars="200"/>
        <w:jc w:val="left"/>
        <w:outlineLvl w:val="0"/>
        <w:rPr>
          <w:rFonts w:ascii="仿宋" w:hAnsi="仿宋" w:eastAsia="仿宋" w:cs="Times New Roman"/>
          <w:color w:val="000000"/>
          <w:sz w:val="32"/>
          <w:szCs w:val="32"/>
        </w:rPr>
      </w:pPr>
      <w:r>
        <w:rPr>
          <w:rFonts w:hint="eastAsia" w:ascii="仿宋" w:hAnsi="仿宋" w:eastAsia="仿宋" w:cs="Times New Roman"/>
          <w:color w:val="000000"/>
          <w:sz w:val="32"/>
          <w:szCs w:val="32"/>
        </w:rPr>
        <w:t>6、信访服务中心</w:t>
      </w:r>
    </w:p>
    <w:p>
      <w:pPr>
        <w:spacing w:line="520" w:lineRule="exact"/>
        <w:ind w:firstLine="640" w:firstLineChars="200"/>
        <w:jc w:val="left"/>
        <w:outlineLvl w:val="0"/>
        <w:rPr>
          <w:rFonts w:ascii="仿宋" w:hAnsi="仿宋" w:eastAsia="仿宋" w:cs="Times New Roman"/>
          <w:color w:val="000000"/>
          <w:sz w:val="32"/>
          <w:szCs w:val="32"/>
        </w:rPr>
      </w:pPr>
      <w:r>
        <w:rPr>
          <w:rFonts w:hint="eastAsia" w:ascii="仿宋" w:hAnsi="仿宋" w:eastAsia="仿宋" w:cs="Times New Roman"/>
          <w:color w:val="000000"/>
          <w:sz w:val="32"/>
          <w:szCs w:val="32"/>
        </w:rPr>
        <w:t>绩效目标：努力把社会矛盾纠纷解决在初始，化解在当地，实施分类引导，领导干部接访，三级调处，信访听证，社会力量参与，教育疏导，监督监察，群众满意度评价等工作机制。</w:t>
      </w:r>
    </w:p>
    <w:p>
      <w:pPr>
        <w:spacing w:line="520" w:lineRule="exact"/>
        <w:ind w:firstLine="640" w:firstLineChars="200"/>
        <w:jc w:val="left"/>
        <w:outlineLvl w:val="0"/>
        <w:rPr>
          <w:rFonts w:ascii="仿宋" w:hAnsi="仿宋" w:eastAsia="仿宋" w:cs="Times New Roman"/>
          <w:color w:val="000000"/>
          <w:sz w:val="32"/>
          <w:szCs w:val="32"/>
        </w:rPr>
      </w:pPr>
      <w:r>
        <w:rPr>
          <w:rFonts w:hint="eastAsia" w:ascii="仿宋" w:hAnsi="仿宋" w:eastAsia="仿宋" w:cs="Times New Roman"/>
          <w:color w:val="000000"/>
          <w:sz w:val="32"/>
          <w:szCs w:val="32"/>
        </w:rPr>
        <w:t>绩效指标：登记受理群众来访事项，职能部门接待窗口负责接待调处、现场答复和报结回复、告知以及宣传等工作；牵头、接待、调处涉及多个部门和一些跨区域的信访件及重要、疑难信访问题；督促检查各职能部门继续做好本单位的来访接待和信访件的报结、回复工作。组织协调区党政领导和有关部门负责人参与接待群众来访工作。做好群众工作中心日常维护和管理。做好群众工作中心对信访条例以及政策规范的宣传。做好群众工作中心工作人员经费、工资、保险等保障支出。</w:t>
      </w:r>
    </w:p>
    <w:p>
      <w:pPr>
        <w:spacing w:line="520" w:lineRule="exact"/>
        <w:ind w:firstLine="640" w:firstLineChars="200"/>
        <w:jc w:val="left"/>
        <w:outlineLvl w:val="0"/>
        <w:rPr>
          <w:rFonts w:ascii="仿宋" w:hAnsi="仿宋" w:eastAsia="仿宋" w:cs="Times New Roman"/>
          <w:color w:val="000000"/>
          <w:sz w:val="32"/>
          <w:szCs w:val="32"/>
        </w:rPr>
      </w:pPr>
      <w:r>
        <w:rPr>
          <w:rFonts w:hint="eastAsia" w:ascii="仿宋" w:hAnsi="仿宋" w:eastAsia="仿宋" w:cs="Times New Roman"/>
          <w:color w:val="000000"/>
          <w:sz w:val="32"/>
          <w:szCs w:val="32"/>
        </w:rPr>
        <w:t>7、其他综合事务管理</w:t>
      </w:r>
    </w:p>
    <w:p>
      <w:pPr>
        <w:spacing w:line="520" w:lineRule="exact"/>
        <w:ind w:firstLine="640" w:firstLineChars="200"/>
        <w:jc w:val="left"/>
        <w:outlineLvl w:val="0"/>
        <w:rPr>
          <w:rFonts w:ascii="仿宋" w:hAnsi="仿宋" w:eastAsia="仿宋" w:cs="Times New Roman"/>
          <w:color w:val="000000"/>
          <w:sz w:val="32"/>
          <w:szCs w:val="32"/>
        </w:rPr>
      </w:pPr>
      <w:r>
        <w:rPr>
          <w:rFonts w:hint="eastAsia" w:ascii="仿宋" w:hAnsi="仿宋" w:eastAsia="仿宋" w:cs="Times New Roman"/>
          <w:color w:val="000000"/>
          <w:sz w:val="32"/>
          <w:szCs w:val="32"/>
        </w:rPr>
        <w:t>绩效目标：进一步提高信访干部业务能力；吸收可行建议，改进信访工作；提高信访信息化应用水平，实现办公自动化、网络化智能化。保障机要邮件正常传递和信访接待楼正常运转；确保相关会议正常召开。</w:t>
      </w:r>
    </w:p>
    <w:p>
      <w:pPr>
        <w:spacing w:line="520" w:lineRule="exact"/>
        <w:ind w:firstLine="640" w:firstLineChars="200"/>
        <w:jc w:val="left"/>
        <w:outlineLvl w:val="0"/>
        <w:rPr>
          <w:rFonts w:ascii="仿宋" w:hAnsi="仿宋" w:eastAsia="仿宋" w:cs="Times New Roman"/>
          <w:color w:val="000000"/>
          <w:sz w:val="32"/>
          <w:szCs w:val="32"/>
        </w:rPr>
      </w:pPr>
      <w:r>
        <w:rPr>
          <w:rFonts w:hint="eastAsia" w:ascii="仿宋" w:hAnsi="仿宋" w:eastAsia="仿宋" w:cs="Times New Roman"/>
          <w:color w:val="000000"/>
          <w:sz w:val="32"/>
          <w:szCs w:val="32"/>
        </w:rPr>
        <w:t>绩效指标 ：拟定信访工作方针政策；调研提出信访工作对策建议；督促检查和指导全区信访工作；业务培训、人民建议征集；公务外网建设与运维管理。机关文书档案、会计档案保管和文件印刷管理，机关人事、离退休人员服务，培训，财务、基建、后勤服务、维持局内日常办公运转所需办公耗材及办公设备；一线信访工作岗位津贴；领导交办的其他工作。</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根据部门职责定位和各项工作履职情况进行综合评价，给出总得分，满分100分，得出综合绩效评价等级。部门整体支出综合绩效评价分为4个等级：得分</w:t>
      </w:r>
      <w:r>
        <w:rPr>
          <w:rFonts w:ascii="仿宋" w:hAnsi="仿宋" w:eastAsia="仿宋" w:cs="Arial"/>
          <w:sz w:val="32"/>
          <w:szCs w:val="32"/>
        </w:rPr>
        <w:t>≥</w:t>
      </w:r>
      <w:r>
        <w:rPr>
          <w:rFonts w:hint="eastAsia" w:ascii="仿宋" w:hAnsi="仿宋" w:eastAsia="仿宋"/>
          <w:sz w:val="32"/>
          <w:szCs w:val="32"/>
        </w:rPr>
        <w:t>85分为优秀；75</w:t>
      </w:r>
      <w:r>
        <w:rPr>
          <w:rFonts w:ascii="仿宋" w:hAnsi="仿宋" w:eastAsia="仿宋" w:cs="Arial"/>
          <w:sz w:val="32"/>
          <w:szCs w:val="32"/>
        </w:rPr>
        <w:t>≤</w:t>
      </w:r>
      <w:r>
        <w:rPr>
          <w:rFonts w:hint="eastAsia" w:ascii="仿宋" w:hAnsi="仿宋" w:eastAsia="仿宋"/>
          <w:sz w:val="32"/>
          <w:szCs w:val="32"/>
        </w:rPr>
        <w:t>得分＜85分为良好；60</w:t>
      </w:r>
      <w:r>
        <w:rPr>
          <w:rFonts w:ascii="仿宋" w:hAnsi="仿宋" w:eastAsia="仿宋" w:cs="Arial"/>
          <w:sz w:val="32"/>
          <w:szCs w:val="32"/>
        </w:rPr>
        <w:t>≤</w:t>
      </w:r>
      <w:r>
        <w:rPr>
          <w:rFonts w:hint="eastAsia" w:ascii="仿宋" w:hAnsi="仿宋" w:eastAsia="仿宋"/>
          <w:sz w:val="32"/>
          <w:szCs w:val="32"/>
        </w:rPr>
        <w:t>得分＜75分为一般；得分＜60分为较差。</w:t>
      </w:r>
    </w:p>
    <w:tbl>
      <w:tblPr>
        <w:tblStyle w:val="5"/>
        <w:tblW w:w="9272" w:type="dxa"/>
        <w:tblInd w:w="93" w:type="dxa"/>
        <w:tblLayout w:type="fixed"/>
        <w:tblCellMar>
          <w:top w:w="0" w:type="dxa"/>
          <w:left w:w="108" w:type="dxa"/>
          <w:bottom w:w="0" w:type="dxa"/>
          <w:right w:w="108" w:type="dxa"/>
        </w:tblCellMar>
      </w:tblPr>
      <w:tblGrid>
        <w:gridCol w:w="856"/>
        <w:gridCol w:w="800"/>
        <w:gridCol w:w="1863"/>
        <w:gridCol w:w="1320"/>
        <w:gridCol w:w="1150"/>
        <w:gridCol w:w="683"/>
        <w:gridCol w:w="800"/>
        <w:gridCol w:w="637"/>
        <w:gridCol w:w="1163"/>
      </w:tblGrid>
      <w:tr>
        <w:tblPrEx>
          <w:tblLayout w:type="fixed"/>
          <w:tblCellMar>
            <w:top w:w="0" w:type="dxa"/>
            <w:left w:w="108" w:type="dxa"/>
            <w:bottom w:w="0" w:type="dxa"/>
            <w:right w:w="108" w:type="dxa"/>
          </w:tblCellMar>
        </w:tblPrEx>
        <w:trPr>
          <w:trHeight w:val="375" w:hRule="atLeast"/>
        </w:trPr>
        <w:tc>
          <w:tcPr>
            <w:tcW w:w="856" w:type="dxa"/>
            <w:vMerge w:val="restart"/>
            <w:tcBorders>
              <w:top w:val="nil"/>
              <w:left w:val="nil"/>
              <w:bottom w:val="nil"/>
              <w:right w:val="nil"/>
            </w:tcBorders>
            <w:vAlign w:val="center"/>
          </w:tcPr>
          <w:p>
            <w:pPr>
              <w:keepNext w:val="0"/>
              <w:keepLines w:val="0"/>
              <w:widowControl/>
              <w:suppressLineNumbers w:val="0"/>
              <w:jc w:val="center"/>
              <w:textAlignment w:val="center"/>
              <w:rPr>
                <w:rFonts w:ascii="Microsoft Sans Serif" w:hAnsi="Microsoft Sans Serif" w:eastAsia="Microsoft Sans Serif" w:cs="Microsoft Sans Serif"/>
                <w:b/>
                <w:bCs/>
                <w:i w:val="0"/>
                <w:iCs w:val="0"/>
                <w:color w:val="000000"/>
                <w:sz w:val="18"/>
                <w:szCs w:val="18"/>
                <w:u w:val="none"/>
              </w:rPr>
            </w:pPr>
            <w:r>
              <w:rPr>
                <w:rFonts w:hint="default" w:ascii="Microsoft Sans Serif" w:hAnsi="Microsoft Sans Serif" w:eastAsia="Microsoft Sans Serif" w:cs="Microsoft Sans Serif"/>
                <w:b/>
                <w:bCs/>
                <w:i w:val="0"/>
                <w:iCs w:val="0"/>
                <w:color w:val="000000"/>
                <w:kern w:val="0"/>
                <w:sz w:val="18"/>
                <w:szCs w:val="18"/>
                <w:u w:val="none"/>
                <w:lang w:val="en-US" w:eastAsia="zh-CN" w:bidi="ar"/>
              </w:rPr>
              <w:t>一级指标</w:t>
            </w:r>
          </w:p>
        </w:tc>
        <w:tc>
          <w:tcPr>
            <w:tcW w:w="800" w:type="dxa"/>
            <w:vMerge w:val="restart"/>
            <w:tcBorders>
              <w:top w:val="nil"/>
              <w:left w:val="nil"/>
              <w:bottom w:val="nil"/>
              <w:right w:val="nil"/>
            </w:tcBorders>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二级指标</w:t>
            </w:r>
          </w:p>
        </w:tc>
        <w:tc>
          <w:tcPr>
            <w:tcW w:w="1863" w:type="dxa"/>
            <w:vMerge w:val="restart"/>
            <w:tcBorders>
              <w:top w:val="nil"/>
              <w:left w:val="nil"/>
              <w:bottom w:val="nil"/>
              <w:right w:val="nil"/>
            </w:tcBorders>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三级指标</w:t>
            </w:r>
          </w:p>
        </w:tc>
        <w:tc>
          <w:tcPr>
            <w:tcW w:w="1320" w:type="dxa"/>
            <w:vMerge w:val="restart"/>
            <w:tcBorders>
              <w:top w:val="nil"/>
              <w:left w:val="nil"/>
              <w:bottom w:val="nil"/>
              <w:right w:val="nil"/>
            </w:tcBorders>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绩效指标描述</w:t>
            </w:r>
          </w:p>
        </w:tc>
        <w:tc>
          <w:tcPr>
            <w:tcW w:w="1150" w:type="dxa"/>
            <w:vMerge w:val="restart"/>
            <w:tcBorders>
              <w:top w:val="nil"/>
              <w:left w:val="nil"/>
              <w:bottom w:val="nil"/>
              <w:right w:val="nil"/>
            </w:tcBorders>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评（扣）分标准</w:t>
            </w:r>
          </w:p>
        </w:tc>
        <w:tc>
          <w:tcPr>
            <w:tcW w:w="2120" w:type="dxa"/>
            <w:gridSpan w:val="3"/>
            <w:tcBorders>
              <w:top w:val="nil"/>
              <w:left w:val="nil"/>
              <w:bottom w:val="nil"/>
              <w:right w:val="nil"/>
            </w:tcBorders>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指标值</w:t>
            </w:r>
          </w:p>
        </w:tc>
        <w:tc>
          <w:tcPr>
            <w:tcW w:w="1163" w:type="dxa"/>
            <w:vMerge w:val="restart"/>
            <w:tcBorders>
              <w:top w:val="nil"/>
              <w:left w:val="nil"/>
              <w:bottom w:val="nil"/>
              <w:right w:val="nil"/>
            </w:tcBorders>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指标值确定依据</w:t>
            </w:r>
          </w:p>
        </w:tc>
      </w:tr>
      <w:tr>
        <w:tblPrEx>
          <w:tblLayout w:type="fixed"/>
          <w:tblCellMar>
            <w:top w:w="0" w:type="dxa"/>
            <w:left w:w="108" w:type="dxa"/>
            <w:bottom w:w="0" w:type="dxa"/>
            <w:right w:w="108" w:type="dxa"/>
          </w:tblCellMar>
        </w:tblPrEx>
        <w:trPr>
          <w:trHeight w:val="375" w:hRule="atLeast"/>
        </w:trPr>
        <w:tc>
          <w:tcPr>
            <w:tcW w:w="856" w:type="dxa"/>
            <w:vMerge w:val="continue"/>
            <w:tcBorders>
              <w:top w:val="nil"/>
              <w:left w:val="nil"/>
              <w:bottom w:val="nil"/>
              <w:right w:val="nil"/>
            </w:tcBorders>
            <w:vAlign w:val="center"/>
          </w:tcPr>
          <w:p>
            <w:pPr>
              <w:jc w:val="center"/>
              <w:rPr>
                <w:rFonts w:hint="default" w:ascii="Microsoft Sans Serif" w:hAnsi="Microsoft Sans Serif" w:eastAsia="Microsoft Sans Serif" w:cs="Microsoft Sans Serif"/>
                <w:b/>
                <w:bCs/>
                <w:i w:val="0"/>
                <w:iCs w:val="0"/>
                <w:color w:val="000000"/>
                <w:sz w:val="18"/>
                <w:szCs w:val="18"/>
                <w:u w:val="none"/>
              </w:rPr>
            </w:pPr>
          </w:p>
        </w:tc>
        <w:tc>
          <w:tcPr>
            <w:tcW w:w="800" w:type="dxa"/>
            <w:vMerge w:val="continue"/>
            <w:tcBorders>
              <w:top w:val="nil"/>
              <w:left w:val="nil"/>
              <w:bottom w:val="nil"/>
              <w:right w:val="nil"/>
            </w:tcBorders>
            <w:vAlign w:val="center"/>
          </w:tcPr>
          <w:p>
            <w:pPr>
              <w:jc w:val="center"/>
              <w:rPr>
                <w:rFonts w:hint="eastAsia" w:ascii="宋体" w:hAnsi="宋体" w:eastAsia="宋体" w:cs="宋体"/>
                <w:b/>
                <w:bCs/>
                <w:i w:val="0"/>
                <w:iCs w:val="0"/>
                <w:color w:val="000000"/>
                <w:sz w:val="18"/>
                <w:szCs w:val="18"/>
                <w:u w:val="none"/>
              </w:rPr>
            </w:pPr>
          </w:p>
        </w:tc>
        <w:tc>
          <w:tcPr>
            <w:tcW w:w="1863" w:type="dxa"/>
            <w:vMerge w:val="continue"/>
            <w:tcBorders>
              <w:top w:val="nil"/>
              <w:left w:val="nil"/>
              <w:bottom w:val="nil"/>
              <w:right w:val="nil"/>
            </w:tcBorders>
            <w:vAlign w:val="center"/>
          </w:tcPr>
          <w:p>
            <w:pPr>
              <w:jc w:val="center"/>
              <w:rPr>
                <w:rFonts w:hint="eastAsia" w:ascii="宋体" w:hAnsi="宋体" w:eastAsia="宋体" w:cs="宋体"/>
                <w:b/>
                <w:bCs/>
                <w:i w:val="0"/>
                <w:iCs w:val="0"/>
                <w:color w:val="000000"/>
                <w:sz w:val="18"/>
                <w:szCs w:val="18"/>
                <w:u w:val="none"/>
              </w:rPr>
            </w:pPr>
          </w:p>
        </w:tc>
        <w:tc>
          <w:tcPr>
            <w:tcW w:w="1320" w:type="dxa"/>
            <w:vMerge w:val="continue"/>
            <w:tcBorders>
              <w:top w:val="nil"/>
              <w:left w:val="nil"/>
              <w:bottom w:val="nil"/>
              <w:right w:val="nil"/>
            </w:tcBorders>
            <w:vAlign w:val="center"/>
          </w:tcPr>
          <w:p>
            <w:pPr>
              <w:jc w:val="center"/>
              <w:rPr>
                <w:rFonts w:hint="eastAsia" w:ascii="宋体" w:hAnsi="宋体" w:eastAsia="宋体" w:cs="宋体"/>
                <w:b/>
                <w:bCs/>
                <w:i w:val="0"/>
                <w:iCs w:val="0"/>
                <w:color w:val="000000"/>
                <w:sz w:val="18"/>
                <w:szCs w:val="18"/>
                <w:u w:val="none"/>
              </w:rPr>
            </w:pPr>
          </w:p>
        </w:tc>
        <w:tc>
          <w:tcPr>
            <w:tcW w:w="1150" w:type="dxa"/>
            <w:vMerge w:val="continue"/>
            <w:tcBorders>
              <w:top w:val="nil"/>
              <w:left w:val="nil"/>
              <w:bottom w:val="nil"/>
              <w:right w:val="nil"/>
            </w:tcBorders>
            <w:vAlign w:val="center"/>
          </w:tcPr>
          <w:p>
            <w:pPr>
              <w:jc w:val="center"/>
              <w:rPr>
                <w:rFonts w:hint="eastAsia" w:ascii="宋体" w:hAnsi="宋体" w:eastAsia="宋体" w:cs="宋体"/>
                <w:b/>
                <w:bCs/>
                <w:i w:val="0"/>
                <w:iCs w:val="0"/>
                <w:color w:val="000000"/>
                <w:sz w:val="18"/>
                <w:szCs w:val="18"/>
                <w:u w:val="none"/>
              </w:rPr>
            </w:pPr>
          </w:p>
        </w:tc>
        <w:tc>
          <w:tcPr>
            <w:tcW w:w="683" w:type="dxa"/>
            <w:tcBorders>
              <w:top w:val="nil"/>
              <w:left w:val="nil"/>
              <w:bottom w:val="nil"/>
              <w:right w:val="nil"/>
            </w:tcBorders>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符号</w:t>
            </w:r>
          </w:p>
        </w:tc>
        <w:tc>
          <w:tcPr>
            <w:tcW w:w="800" w:type="dxa"/>
            <w:tcBorders>
              <w:top w:val="nil"/>
              <w:left w:val="nil"/>
              <w:bottom w:val="nil"/>
              <w:right w:val="nil"/>
            </w:tcBorders>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值</w:t>
            </w:r>
          </w:p>
        </w:tc>
        <w:tc>
          <w:tcPr>
            <w:tcW w:w="637" w:type="dxa"/>
            <w:tcBorders>
              <w:top w:val="nil"/>
              <w:left w:val="nil"/>
              <w:bottom w:val="nil"/>
              <w:right w:val="nil"/>
            </w:tcBorders>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单位（文字描述）</w:t>
            </w:r>
          </w:p>
        </w:tc>
        <w:tc>
          <w:tcPr>
            <w:tcW w:w="1163" w:type="dxa"/>
            <w:vMerge w:val="continue"/>
            <w:tcBorders>
              <w:top w:val="nil"/>
              <w:left w:val="nil"/>
              <w:bottom w:val="nil"/>
              <w:right w:val="nil"/>
            </w:tcBorders>
            <w:vAlign w:val="center"/>
          </w:tcPr>
          <w:p>
            <w:pPr>
              <w:jc w:val="center"/>
              <w:rPr>
                <w:rFonts w:hint="eastAsia" w:ascii="宋体" w:hAnsi="宋体" w:eastAsia="宋体" w:cs="宋体"/>
                <w:b/>
                <w:bCs/>
                <w:i w:val="0"/>
                <w:iCs w:val="0"/>
                <w:color w:val="000000"/>
                <w:sz w:val="18"/>
                <w:szCs w:val="18"/>
                <w:u w:val="none"/>
              </w:rPr>
            </w:pPr>
          </w:p>
        </w:tc>
      </w:tr>
      <w:tr>
        <w:tblPrEx>
          <w:tblLayout w:type="fixed"/>
          <w:tblCellMar>
            <w:top w:w="0" w:type="dxa"/>
            <w:left w:w="108" w:type="dxa"/>
            <w:bottom w:w="0" w:type="dxa"/>
            <w:right w:w="108" w:type="dxa"/>
          </w:tblCellMar>
        </w:tblPrEx>
        <w:trPr>
          <w:trHeight w:val="375" w:hRule="atLeast"/>
        </w:trPr>
        <w:tc>
          <w:tcPr>
            <w:tcW w:w="856" w:type="dxa"/>
            <w:vMerge w:val="restart"/>
            <w:tcBorders>
              <w:top w:val="nil"/>
              <w:left w:val="nil"/>
              <w:bottom w:val="nil"/>
              <w:right w:val="nil"/>
            </w:tcBorders>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产出指标</w:t>
            </w:r>
          </w:p>
        </w:tc>
        <w:tc>
          <w:tcPr>
            <w:tcW w:w="800" w:type="dxa"/>
            <w:tcBorders>
              <w:top w:val="nil"/>
              <w:left w:val="nil"/>
              <w:bottom w:val="nil"/>
              <w:right w:val="nil"/>
            </w:tcBorders>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1863" w:type="dxa"/>
            <w:tcBorders>
              <w:top w:val="nil"/>
              <w:left w:val="nil"/>
              <w:bottom w:val="nil"/>
              <w:right w:val="nil"/>
            </w:tcBorders>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督办信访案件数量</w:t>
            </w:r>
          </w:p>
        </w:tc>
        <w:tc>
          <w:tcPr>
            <w:tcW w:w="1320" w:type="dxa"/>
            <w:tcBorders>
              <w:top w:val="nil"/>
              <w:left w:val="nil"/>
              <w:bottom w:val="nil"/>
              <w:right w:val="nil"/>
            </w:tcBorders>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督办案件数量</w:t>
            </w:r>
          </w:p>
        </w:tc>
        <w:tc>
          <w:tcPr>
            <w:tcW w:w="1150" w:type="dxa"/>
            <w:tcBorders>
              <w:top w:val="nil"/>
              <w:left w:val="nil"/>
              <w:bottom w:val="nil"/>
              <w:right w:val="nil"/>
            </w:tcBorders>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按照年度完成情况</w:t>
            </w:r>
          </w:p>
        </w:tc>
        <w:tc>
          <w:tcPr>
            <w:tcW w:w="683" w:type="dxa"/>
            <w:tcBorders>
              <w:top w:val="nil"/>
              <w:left w:val="nil"/>
              <w:bottom w:val="nil"/>
              <w:right w:val="nil"/>
            </w:tcBorders>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文字描述</w:t>
            </w:r>
          </w:p>
        </w:tc>
        <w:tc>
          <w:tcPr>
            <w:tcW w:w="800" w:type="dxa"/>
            <w:tcBorders>
              <w:top w:val="nil"/>
              <w:left w:val="nil"/>
              <w:bottom w:val="nil"/>
              <w:right w:val="nil"/>
            </w:tcBorders>
            <w:vAlign w:val="center"/>
          </w:tcPr>
          <w:p>
            <w:pPr>
              <w:jc w:val="right"/>
              <w:rPr>
                <w:rFonts w:hint="eastAsia" w:ascii="宋体" w:hAnsi="宋体" w:eastAsia="宋体" w:cs="宋体"/>
                <w:i w:val="0"/>
                <w:iCs w:val="0"/>
                <w:color w:val="000000"/>
                <w:sz w:val="18"/>
                <w:szCs w:val="18"/>
                <w:u w:val="none"/>
              </w:rPr>
            </w:pPr>
          </w:p>
        </w:tc>
        <w:tc>
          <w:tcPr>
            <w:tcW w:w="637" w:type="dxa"/>
            <w:tcBorders>
              <w:top w:val="nil"/>
              <w:left w:val="nil"/>
              <w:bottom w:val="nil"/>
              <w:right w:val="nil"/>
            </w:tcBorders>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年度督办案件数量</w:t>
            </w:r>
          </w:p>
        </w:tc>
        <w:tc>
          <w:tcPr>
            <w:tcW w:w="1163" w:type="dxa"/>
            <w:tcBorders>
              <w:top w:val="nil"/>
              <w:left w:val="nil"/>
              <w:bottom w:val="nil"/>
              <w:right w:val="nil"/>
            </w:tcBorders>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依据上年数据测评</w:t>
            </w:r>
          </w:p>
        </w:tc>
      </w:tr>
      <w:tr>
        <w:tblPrEx>
          <w:tblLayout w:type="fixed"/>
          <w:tblCellMar>
            <w:top w:w="0" w:type="dxa"/>
            <w:left w:w="108" w:type="dxa"/>
            <w:bottom w:w="0" w:type="dxa"/>
            <w:right w:w="108" w:type="dxa"/>
          </w:tblCellMar>
        </w:tblPrEx>
        <w:trPr>
          <w:trHeight w:val="375" w:hRule="atLeast"/>
        </w:trPr>
        <w:tc>
          <w:tcPr>
            <w:tcW w:w="856" w:type="dxa"/>
            <w:vMerge w:val="continue"/>
            <w:tcBorders>
              <w:top w:val="nil"/>
              <w:left w:val="nil"/>
              <w:bottom w:val="nil"/>
              <w:right w:val="nil"/>
            </w:tcBorders>
            <w:vAlign w:val="center"/>
          </w:tcPr>
          <w:p>
            <w:pPr>
              <w:jc w:val="center"/>
              <w:rPr>
                <w:rFonts w:hint="eastAsia" w:ascii="宋体" w:hAnsi="宋体" w:eastAsia="宋体" w:cs="宋体"/>
                <w:b/>
                <w:bCs/>
                <w:i w:val="0"/>
                <w:iCs w:val="0"/>
                <w:color w:val="000000"/>
                <w:sz w:val="18"/>
                <w:szCs w:val="18"/>
                <w:u w:val="none"/>
              </w:rPr>
            </w:pPr>
          </w:p>
        </w:tc>
        <w:tc>
          <w:tcPr>
            <w:tcW w:w="800" w:type="dxa"/>
            <w:tcBorders>
              <w:top w:val="nil"/>
              <w:left w:val="nil"/>
              <w:bottom w:val="nil"/>
              <w:right w:val="nil"/>
            </w:tcBorders>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质量指标</w:t>
            </w:r>
          </w:p>
        </w:tc>
        <w:tc>
          <w:tcPr>
            <w:tcW w:w="1863" w:type="dxa"/>
            <w:tcBorders>
              <w:top w:val="nil"/>
              <w:left w:val="nil"/>
              <w:bottom w:val="nil"/>
              <w:right w:val="nil"/>
            </w:tcBorders>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驻京人员值班情况</w:t>
            </w:r>
          </w:p>
        </w:tc>
        <w:tc>
          <w:tcPr>
            <w:tcW w:w="1320" w:type="dxa"/>
            <w:tcBorders>
              <w:top w:val="nil"/>
              <w:left w:val="nil"/>
              <w:bottom w:val="nil"/>
              <w:right w:val="nil"/>
            </w:tcBorders>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做好驻京值班人员生活补贴发放工作</w:t>
            </w:r>
          </w:p>
        </w:tc>
        <w:tc>
          <w:tcPr>
            <w:tcW w:w="1150" w:type="dxa"/>
            <w:tcBorders>
              <w:top w:val="nil"/>
              <w:left w:val="nil"/>
              <w:bottom w:val="nil"/>
              <w:right w:val="nil"/>
            </w:tcBorders>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按照年度完成情况</w:t>
            </w:r>
          </w:p>
        </w:tc>
        <w:tc>
          <w:tcPr>
            <w:tcW w:w="683" w:type="dxa"/>
            <w:tcBorders>
              <w:top w:val="nil"/>
              <w:left w:val="nil"/>
              <w:bottom w:val="nil"/>
              <w:right w:val="nil"/>
            </w:tcBorders>
            <w:vAlign w:val="center"/>
          </w:tcPr>
          <w:p>
            <w:pPr>
              <w:jc w:val="left"/>
              <w:rPr>
                <w:rFonts w:hint="eastAsia" w:ascii="宋体" w:hAnsi="宋体" w:eastAsia="宋体" w:cs="宋体"/>
                <w:i w:val="0"/>
                <w:iCs w:val="0"/>
                <w:color w:val="000000"/>
                <w:sz w:val="18"/>
                <w:szCs w:val="18"/>
                <w:u w:val="none"/>
              </w:rPr>
            </w:pPr>
          </w:p>
        </w:tc>
        <w:tc>
          <w:tcPr>
            <w:tcW w:w="800" w:type="dxa"/>
            <w:tcBorders>
              <w:top w:val="nil"/>
              <w:left w:val="nil"/>
              <w:bottom w:val="nil"/>
              <w:right w:val="nil"/>
            </w:tcBorders>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r>
              <w:rPr>
                <w:rFonts w:hint="eastAsia" w:ascii="宋体" w:hAnsi="宋体" w:cs="宋体"/>
                <w:i w:val="0"/>
                <w:iCs w:val="0"/>
                <w:color w:val="000000"/>
                <w:kern w:val="0"/>
                <w:sz w:val="18"/>
                <w:szCs w:val="18"/>
                <w:u w:val="none"/>
                <w:lang w:val="en-US" w:eastAsia="zh-CN" w:bidi="ar"/>
              </w:rPr>
              <w:t>8</w:t>
            </w:r>
            <w:r>
              <w:rPr>
                <w:rFonts w:hint="eastAsia" w:ascii="宋体" w:hAnsi="宋体" w:eastAsia="宋体" w:cs="宋体"/>
                <w:i w:val="0"/>
                <w:iCs w:val="0"/>
                <w:color w:val="000000"/>
                <w:kern w:val="0"/>
                <w:sz w:val="18"/>
                <w:szCs w:val="18"/>
                <w:u w:val="none"/>
                <w:lang w:val="en-US" w:eastAsia="zh-CN" w:bidi="ar"/>
              </w:rPr>
              <w:t>.00</w:t>
            </w:r>
          </w:p>
        </w:tc>
        <w:tc>
          <w:tcPr>
            <w:tcW w:w="637" w:type="dxa"/>
            <w:tcBorders>
              <w:top w:val="nil"/>
              <w:left w:val="nil"/>
              <w:bottom w:val="nil"/>
              <w:right w:val="nil"/>
            </w:tcBorders>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百分比</w:t>
            </w:r>
          </w:p>
        </w:tc>
        <w:tc>
          <w:tcPr>
            <w:tcW w:w="1163" w:type="dxa"/>
            <w:tcBorders>
              <w:top w:val="nil"/>
              <w:left w:val="nil"/>
              <w:bottom w:val="nil"/>
              <w:right w:val="nil"/>
            </w:tcBorders>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市联席办2012年石机号501</w:t>
            </w:r>
          </w:p>
        </w:tc>
      </w:tr>
      <w:tr>
        <w:tblPrEx>
          <w:tblLayout w:type="fixed"/>
          <w:tblCellMar>
            <w:top w:w="0" w:type="dxa"/>
            <w:left w:w="108" w:type="dxa"/>
            <w:bottom w:w="0" w:type="dxa"/>
            <w:right w:w="108" w:type="dxa"/>
          </w:tblCellMar>
        </w:tblPrEx>
        <w:trPr>
          <w:trHeight w:val="375" w:hRule="atLeast"/>
        </w:trPr>
        <w:tc>
          <w:tcPr>
            <w:tcW w:w="856" w:type="dxa"/>
            <w:vMerge w:val="continue"/>
            <w:tcBorders>
              <w:top w:val="nil"/>
              <w:left w:val="nil"/>
              <w:bottom w:val="nil"/>
              <w:right w:val="nil"/>
            </w:tcBorders>
            <w:vAlign w:val="center"/>
          </w:tcPr>
          <w:p>
            <w:pPr>
              <w:jc w:val="center"/>
              <w:rPr>
                <w:rFonts w:hint="eastAsia" w:ascii="宋体" w:hAnsi="宋体" w:eastAsia="宋体" w:cs="宋体"/>
                <w:b/>
                <w:bCs/>
                <w:i w:val="0"/>
                <w:iCs w:val="0"/>
                <w:color w:val="000000"/>
                <w:sz w:val="18"/>
                <w:szCs w:val="18"/>
                <w:u w:val="none"/>
              </w:rPr>
            </w:pPr>
          </w:p>
        </w:tc>
        <w:tc>
          <w:tcPr>
            <w:tcW w:w="800" w:type="dxa"/>
            <w:tcBorders>
              <w:top w:val="nil"/>
              <w:left w:val="nil"/>
              <w:bottom w:val="nil"/>
              <w:right w:val="nil"/>
            </w:tcBorders>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时效指标</w:t>
            </w:r>
          </w:p>
        </w:tc>
        <w:tc>
          <w:tcPr>
            <w:tcW w:w="1863" w:type="dxa"/>
            <w:tcBorders>
              <w:top w:val="nil"/>
              <w:left w:val="nil"/>
              <w:bottom w:val="nil"/>
              <w:right w:val="nil"/>
            </w:tcBorders>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驻京人员对信访保障工作完成情况</w:t>
            </w:r>
          </w:p>
        </w:tc>
        <w:tc>
          <w:tcPr>
            <w:tcW w:w="1320" w:type="dxa"/>
            <w:tcBorders>
              <w:top w:val="nil"/>
              <w:left w:val="nil"/>
              <w:bottom w:val="nil"/>
              <w:right w:val="nil"/>
            </w:tcBorders>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按要求做好信访保障工作</w:t>
            </w:r>
          </w:p>
        </w:tc>
        <w:tc>
          <w:tcPr>
            <w:tcW w:w="1150" w:type="dxa"/>
            <w:tcBorders>
              <w:top w:val="nil"/>
              <w:left w:val="nil"/>
              <w:bottom w:val="nil"/>
              <w:right w:val="nil"/>
            </w:tcBorders>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按照年度完成情况</w:t>
            </w:r>
          </w:p>
        </w:tc>
        <w:tc>
          <w:tcPr>
            <w:tcW w:w="683" w:type="dxa"/>
            <w:tcBorders>
              <w:top w:val="nil"/>
              <w:left w:val="nil"/>
              <w:bottom w:val="nil"/>
              <w:right w:val="nil"/>
            </w:tcBorders>
            <w:vAlign w:val="center"/>
          </w:tcPr>
          <w:p>
            <w:pPr>
              <w:jc w:val="left"/>
              <w:rPr>
                <w:rFonts w:hint="eastAsia" w:ascii="宋体" w:hAnsi="宋体" w:eastAsia="宋体" w:cs="宋体"/>
                <w:i w:val="0"/>
                <w:iCs w:val="0"/>
                <w:color w:val="000000"/>
                <w:sz w:val="18"/>
                <w:szCs w:val="18"/>
                <w:u w:val="none"/>
              </w:rPr>
            </w:pPr>
          </w:p>
        </w:tc>
        <w:tc>
          <w:tcPr>
            <w:tcW w:w="800" w:type="dxa"/>
            <w:tcBorders>
              <w:top w:val="nil"/>
              <w:left w:val="nil"/>
              <w:bottom w:val="nil"/>
              <w:right w:val="nil"/>
            </w:tcBorders>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r>
              <w:rPr>
                <w:rFonts w:hint="eastAsia" w:ascii="宋体" w:hAnsi="宋体" w:cs="宋体"/>
                <w:i w:val="0"/>
                <w:iCs w:val="0"/>
                <w:color w:val="000000"/>
                <w:kern w:val="0"/>
                <w:sz w:val="18"/>
                <w:szCs w:val="18"/>
                <w:u w:val="none"/>
                <w:lang w:val="en-US" w:eastAsia="zh-CN" w:bidi="ar"/>
              </w:rPr>
              <w:t>8</w:t>
            </w:r>
            <w:r>
              <w:rPr>
                <w:rFonts w:hint="eastAsia" w:ascii="宋体" w:hAnsi="宋体" w:eastAsia="宋体" w:cs="宋体"/>
                <w:i w:val="0"/>
                <w:iCs w:val="0"/>
                <w:color w:val="000000"/>
                <w:kern w:val="0"/>
                <w:sz w:val="18"/>
                <w:szCs w:val="18"/>
                <w:u w:val="none"/>
                <w:lang w:val="en-US" w:eastAsia="zh-CN" w:bidi="ar"/>
              </w:rPr>
              <w:t>.00</w:t>
            </w:r>
          </w:p>
        </w:tc>
        <w:tc>
          <w:tcPr>
            <w:tcW w:w="637" w:type="dxa"/>
            <w:tcBorders>
              <w:top w:val="nil"/>
              <w:left w:val="nil"/>
              <w:bottom w:val="nil"/>
              <w:right w:val="nil"/>
            </w:tcBorders>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百分比</w:t>
            </w:r>
          </w:p>
        </w:tc>
        <w:tc>
          <w:tcPr>
            <w:tcW w:w="1163" w:type="dxa"/>
            <w:tcBorders>
              <w:top w:val="nil"/>
              <w:left w:val="nil"/>
              <w:bottom w:val="nil"/>
              <w:right w:val="nil"/>
            </w:tcBorders>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依据上年数据测评</w:t>
            </w:r>
          </w:p>
        </w:tc>
      </w:tr>
      <w:tr>
        <w:tblPrEx>
          <w:tblLayout w:type="fixed"/>
          <w:tblCellMar>
            <w:top w:w="0" w:type="dxa"/>
            <w:left w:w="108" w:type="dxa"/>
            <w:bottom w:w="0" w:type="dxa"/>
            <w:right w:w="108" w:type="dxa"/>
          </w:tblCellMar>
        </w:tblPrEx>
        <w:trPr>
          <w:trHeight w:val="375" w:hRule="atLeast"/>
        </w:trPr>
        <w:tc>
          <w:tcPr>
            <w:tcW w:w="856" w:type="dxa"/>
            <w:vMerge w:val="continue"/>
            <w:tcBorders>
              <w:top w:val="nil"/>
              <w:left w:val="nil"/>
              <w:bottom w:val="nil"/>
              <w:right w:val="nil"/>
            </w:tcBorders>
            <w:vAlign w:val="center"/>
          </w:tcPr>
          <w:p>
            <w:pPr>
              <w:jc w:val="center"/>
              <w:rPr>
                <w:rFonts w:hint="eastAsia" w:ascii="宋体" w:hAnsi="宋体" w:eastAsia="宋体" w:cs="宋体"/>
                <w:b/>
                <w:bCs/>
                <w:i w:val="0"/>
                <w:iCs w:val="0"/>
                <w:color w:val="000000"/>
                <w:sz w:val="18"/>
                <w:szCs w:val="18"/>
                <w:u w:val="none"/>
              </w:rPr>
            </w:pPr>
          </w:p>
        </w:tc>
        <w:tc>
          <w:tcPr>
            <w:tcW w:w="800" w:type="dxa"/>
            <w:tcBorders>
              <w:top w:val="nil"/>
              <w:left w:val="nil"/>
              <w:bottom w:val="nil"/>
              <w:right w:val="nil"/>
            </w:tcBorders>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成本指标</w:t>
            </w:r>
          </w:p>
        </w:tc>
        <w:tc>
          <w:tcPr>
            <w:tcW w:w="1863" w:type="dxa"/>
            <w:tcBorders>
              <w:top w:val="nil"/>
              <w:left w:val="nil"/>
              <w:bottom w:val="nil"/>
              <w:right w:val="nil"/>
            </w:tcBorders>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资金完成数量</w:t>
            </w:r>
          </w:p>
        </w:tc>
        <w:tc>
          <w:tcPr>
            <w:tcW w:w="1320" w:type="dxa"/>
            <w:tcBorders>
              <w:top w:val="nil"/>
              <w:left w:val="nil"/>
              <w:bottom w:val="nil"/>
              <w:right w:val="nil"/>
            </w:tcBorders>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资金完成数量</w:t>
            </w:r>
          </w:p>
        </w:tc>
        <w:tc>
          <w:tcPr>
            <w:tcW w:w="1150" w:type="dxa"/>
            <w:tcBorders>
              <w:top w:val="nil"/>
              <w:left w:val="nil"/>
              <w:bottom w:val="nil"/>
              <w:right w:val="nil"/>
            </w:tcBorders>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按照年度完成情况</w:t>
            </w:r>
          </w:p>
        </w:tc>
        <w:tc>
          <w:tcPr>
            <w:tcW w:w="683" w:type="dxa"/>
            <w:tcBorders>
              <w:top w:val="nil"/>
              <w:left w:val="nil"/>
              <w:bottom w:val="nil"/>
              <w:right w:val="nil"/>
            </w:tcBorders>
            <w:vAlign w:val="center"/>
          </w:tcPr>
          <w:p>
            <w:pPr>
              <w:jc w:val="left"/>
              <w:rPr>
                <w:rFonts w:hint="eastAsia" w:ascii="宋体" w:hAnsi="宋体" w:eastAsia="宋体" w:cs="宋体"/>
                <w:i w:val="0"/>
                <w:iCs w:val="0"/>
                <w:color w:val="000000"/>
                <w:sz w:val="18"/>
                <w:szCs w:val="18"/>
                <w:u w:val="none"/>
              </w:rPr>
            </w:pPr>
          </w:p>
        </w:tc>
        <w:tc>
          <w:tcPr>
            <w:tcW w:w="800" w:type="dxa"/>
            <w:tcBorders>
              <w:top w:val="nil"/>
              <w:left w:val="nil"/>
              <w:bottom w:val="nil"/>
              <w:right w:val="nil"/>
            </w:tcBorders>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r>
              <w:rPr>
                <w:rFonts w:hint="eastAsia" w:ascii="宋体" w:hAnsi="宋体" w:cs="宋体"/>
                <w:i w:val="0"/>
                <w:iCs w:val="0"/>
                <w:color w:val="000000"/>
                <w:kern w:val="0"/>
                <w:sz w:val="18"/>
                <w:szCs w:val="18"/>
                <w:u w:val="none"/>
                <w:lang w:val="en-US" w:eastAsia="zh-CN" w:bidi="ar"/>
              </w:rPr>
              <w:t>8</w:t>
            </w:r>
            <w:r>
              <w:rPr>
                <w:rFonts w:hint="eastAsia" w:ascii="宋体" w:hAnsi="宋体" w:eastAsia="宋体" w:cs="宋体"/>
                <w:i w:val="0"/>
                <w:iCs w:val="0"/>
                <w:color w:val="000000"/>
                <w:kern w:val="0"/>
                <w:sz w:val="18"/>
                <w:szCs w:val="18"/>
                <w:u w:val="none"/>
                <w:lang w:val="en-US" w:eastAsia="zh-CN" w:bidi="ar"/>
              </w:rPr>
              <w:t>.00</w:t>
            </w:r>
          </w:p>
        </w:tc>
        <w:tc>
          <w:tcPr>
            <w:tcW w:w="637" w:type="dxa"/>
            <w:tcBorders>
              <w:top w:val="nil"/>
              <w:left w:val="nil"/>
              <w:bottom w:val="nil"/>
              <w:right w:val="nil"/>
            </w:tcBorders>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百分比</w:t>
            </w:r>
          </w:p>
        </w:tc>
        <w:tc>
          <w:tcPr>
            <w:tcW w:w="1163" w:type="dxa"/>
            <w:tcBorders>
              <w:top w:val="nil"/>
              <w:left w:val="nil"/>
              <w:bottom w:val="nil"/>
              <w:right w:val="nil"/>
            </w:tcBorders>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依据上年数据测评</w:t>
            </w:r>
          </w:p>
        </w:tc>
      </w:tr>
      <w:tr>
        <w:tblPrEx>
          <w:tblLayout w:type="fixed"/>
          <w:tblCellMar>
            <w:top w:w="0" w:type="dxa"/>
            <w:left w:w="108" w:type="dxa"/>
            <w:bottom w:w="0" w:type="dxa"/>
            <w:right w:w="108" w:type="dxa"/>
          </w:tblCellMar>
        </w:tblPrEx>
        <w:trPr>
          <w:trHeight w:val="375" w:hRule="atLeast"/>
        </w:trPr>
        <w:tc>
          <w:tcPr>
            <w:tcW w:w="856" w:type="dxa"/>
            <w:tcBorders>
              <w:top w:val="nil"/>
              <w:left w:val="nil"/>
              <w:bottom w:val="nil"/>
              <w:right w:val="nil"/>
            </w:tcBorders>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效益指标</w:t>
            </w:r>
          </w:p>
        </w:tc>
        <w:tc>
          <w:tcPr>
            <w:tcW w:w="800" w:type="dxa"/>
            <w:tcBorders>
              <w:top w:val="nil"/>
              <w:left w:val="nil"/>
              <w:bottom w:val="nil"/>
              <w:right w:val="nil"/>
            </w:tcBorders>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社会效益指标</w:t>
            </w:r>
          </w:p>
        </w:tc>
        <w:tc>
          <w:tcPr>
            <w:tcW w:w="1863" w:type="dxa"/>
            <w:tcBorders>
              <w:top w:val="nil"/>
              <w:left w:val="nil"/>
              <w:bottom w:val="nil"/>
              <w:right w:val="nil"/>
            </w:tcBorders>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整合多方力量化解社会矛盾</w:t>
            </w:r>
          </w:p>
        </w:tc>
        <w:tc>
          <w:tcPr>
            <w:tcW w:w="1320" w:type="dxa"/>
            <w:tcBorders>
              <w:top w:val="nil"/>
              <w:left w:val="nil"/>
              <w:bottom w:val="nil"/>
              <w:right w:val="nil"/>
            </w:tcBorders>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能按照要求做好驻京信访保障工作</w:t>
            </w:r>
          </w:p>
        </w:tc>
        <w:tc>
          <w:tcPr>
            <w:tcW w:w="1150" w:type="dxa"/>
            <w:tcBorders>
              <w:top w:val="nil"/>
              <w:left w:val="nil"/>
              <w:bottom w:val="nil"/>
              <w:right w:val="nil"/>
            </w:tcBorders>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按照年度完成情况</w:t>
            </w:r>
          </w:p>
        </w:tc>
        <w:tc>
          <w:tcPr>
            <w:tcW w:w="683" w:type="dxa"/>
            <w:tcBorders>
              <w:top w:val="nil"/>
              <w:left w:val="nil"/>
              <w:bottom w:val="nil"/>
              <w:right w:val="nil"/>
            </w:tcBorders>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文字描述</w:t>
            </w:r>
          </w:p>
        </w:tc>
        <w:tc>
          <w:tcPr>
            <w:tcW w:w="800" w:type="dxa"/>
            <w:tcBorders>
              <w:top w:val="nil"/>
              <w:left w:val="nil"/>
              <w:bottom w:val="nil"/>
              <w:right w:val="nil"/>
            </w:tcBorders>
            <w:vAlign w:val="center"/>
          </w:tcPr>
          <w:p>
            <w:pPr>
              <w:jc w:val="right"/>
              <w:rPr>
                <w:rFonts w:hint="eastAsia" w:ascii="宋体" w:hAnsi="宋体" w:eastAsia="宋体" w:cs="宋体"/>
                <w:i w:val="0"/>
                <w:iCs w:val="0"/>
                <w:color w:val="000000"/>
                <w:sz w:val="18"/>
                <w:szCs w:val="18"/>
                <w:u w:val="none"/>
              </w:rPr>
            </w:pPr>
          </w:p>
        </w:tc>
        <w:tc>
          <w:tcPr>
            <w:tcW w:w="637" w:type="dxa"/>
            <w:tcBorders>
              <w:top w:val="nil"/>
              <w:left w:val="nil"/>
              <w:bottom w:val="nil"/>
              <w:right w:val="nil"/>
            </w:tcBorders>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维社会稳定</w:t>
            </w:r>
          </w:p>
        </w:tc>
        <w:tc>
          <w:tcPr>
            <w:tcW w:w="1163" w:type="dxa"/>
            <w:tcBorders>
              <w:top w:val="nil"/>
              <w:left w:val="nil"/>
              <w:bottom w:val="nil"/>
              <w:right w:val="nil"/>
            </w:tcBorders>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依据上年数据测评</w:t>
            </w:r>
          </w:p>
        </w:tc>
      </w:tr>
      <w:tr>
        <w:tblPrEx>
          <w:tblLayout w:type="fixed"/>
          <w:tblCellMar>
            <w:top w:w="0" w:type="dxa"/>
            <w:left w:w="108" w:type="dxa"/>
            <w:bottom w:w="0" w:type="dxa"/>
            <w:right w:w="108" w:type="dxa"/>
          </w:tblCellMar>
        </w:tblPrEx>
        <w:trPr>
          <w:trHeight w:val="375" w:hRule="atLeast"/>
        </w:trPr>
        <w:tc>
          <w:tcPr>
            <w:tcW w:w="856" w:type="dxa"/>
            <w:tcBorders>
              <w:top w:val="nil"/>
              <w:left w:val="nil"/>
              <w:bottom w:val="nil"/>
              <w:right w:val="nil"/>
            </w:tcBorders>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满意度指标</w:t>
            </w:r>
          </w:p>
        </w:tc>
        <w:tc>
          <w:tcPr>
            <w:tcW w:w="800" w:type="dxa"/>
            <w:tcBorders>
              <w:top w:val="nil"/>
              <w:left w:val="nil"/>
              <w:bottom w:val="nil"/>
              <w:right w:val="nil"/>
            </w:tcBorders>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服务对象满意度指标</w:t>
            </w:r>
          </w:p>
        </w:tc>
        <w:tc>
          <w:tcPr>
            <w:tcW w:w="1863" w:type="dxa"/>
            <w:tcBorders>
              <w:top w:val="nil"/>
              <w:left w:val="nil"/>
              <w:bottom w:val="nil"/>
              <w:right w:val="nil"/>
            </w:tcBorders>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信访群众满意度</w:t>
            </w:r>
          </w:p>
        </w:tc>
        <w:tc>
          <w:tcPr>
            <w:tcW w:w="1320" w:type="dxa"/>
            <w:tcBorders>
              <w:top w:val="nil"/>
              <w:left w:val="nil"/>
              <w:bottom w:val="nil"/>
              <w:right w:val="nil"/>
            </w:tcBorders>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信访群众满意度</w:t>
            </w:r>
          </w:p>
        </w:tc>
        <w:tc>
          <w:tcPr>
            <w:tcW w:w="1150" w:type="dxa"/>
            <w:tcBorders>
              <w:top w:val="nil"/>
              <w:left w:val="nil"/>
              <w:bottom w:val="nil"/>
              <w:right w:val="nil"/>
            </w:tcBorders>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按照年度完成情况</w:t>
            </w:r>
          </w:p>
        </w:tc>
        <w:tc>
          <w:tcPr>
            <w:tcW w:w="683" w:type="dxa"/>
            <w:tcBorders>
              <w:top w:val="nil"/>
              <w:left w:val="nil"/>
              <w:bottom w:val="nil"/>
              <w:right w:val="nil"/>
            </w:tcBorders>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800" w:type="dxa"/>
            <w:tcBorders>
              <w:top w:val="nil"/>
              <w:left w:val="nil"/>
              <w:bottom w:val="nil"/>
              <w:right w:val="nil"/>
            </w:tcBorders>
            <w:vAlign w:val="center"/>
          </w:tcPr>
          <w:p>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r>
              <w:rPr>
                <w:rFonts w:hint="eastAsia" w:ascii="宋体" w:hAnsi="宋体" w:cs="宋体"/>
                <w:i w:val="0"/>
                <w:iCs w:val="0"/>
                <w:color w:val="000000"/>
                <w:kern w:val="0"/>
                <w:sz w:val="18"/>
                <w:szCs w:val="18"/>
                <w:u w:val="none"/>
                <w:lang w:val="en-US" w:eastAsia="zh-CN" w:bidi="ar"/>
              </w:rPr>
              <w:t>8</w:t>
            </w:r>
            <w:r>
              <w:rPr>
                <w:rFonts w:hint="eastAsia" w:ascii="宋体" w:hAnsi="宋体" w:eastAsia="宋体" w:cs="宋体"/>
                <w:i w:val="0"/>
                <w:iCs w:val="0"/>
                <w:color w:val="000000"/>
                <w:kern w:val="0"/>
                <w:sz w:val="18"/>
                <w:szCs w:val="18"/>
                <w:u w:val="none"/>
                <w:lang w:val="en-US" w:eastAsia="zh-CN" w:bidi="ar"/>
              </w:rPr>
              <w:t>.00</w:t>
            </w:r>
          </w:p>
        </w:tc>
        <w:tc>
          <w:tcPr>
            <w:tcW w:w="637" w:type="dxa"/>
            <w:tcBorders>
              <w:top w:val="nil"/>
              <w:left w:val="nil"/>
              <w:bottom w:val="nil"/>
              <w:right w:val="nil"/>
            </w:tcBorders>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信访办理满意度</w:t>
            </w:r>
          </w:p>
        </w:tc>
        <w:tc>
          <w:tcPr>
            <w:tcW w:w="1163" w:type="dxa"/>
            <w:tcBorders>
              <w:top w:val="nil"/>
              <w:left w:val="nil"/>
              <w:bottom w:val="nil"/>
              <w:right w:val="nil"/>
            </w:tcBorders>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依据上年数据测评</w:t>
            </w:r>
          </w:p>
        </w:tc>
      </w:tr>
    </w:tbl>
    <w:p>
      <w:pPr>
        <w:widowControl w:val="0"/>
        <w:wordWrap/>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rPr>
        <w:t>根据</w:t>
      </w:r>
      <w:r>
        <w:rPr>
          <w:rFonts w:hint="eastAsia" w:ascii="仿宋" w:hAnsi="仿宋" w:eastAsia="仿宋"/>
          <w:sz w:val="32"/>
          <w:szCs w:val="32"/>
          <w:lang w:eastAsia="zh-CN"/>
        </w:rPr>
        <w:t>部门职责定位和各项工作履职情况进行综合评价</w:t>
      </w:r>
      <w:r>
        <w:rPr>
          <w:rFonts w:hint="eastAsia" w:ascii="仿宋" w:hAnsi="仿宋" w:eastAsia="仿宋"/>
          <w:sz w:val="32"/>
          <w:szCs w:val="32"/>
        </w:rPr>
        <w:t>，</w:t>
      </w:r>
      <w:r>
        <w:rPr>
          <w:rFonts w:hint="eastAsia" w:ascii="仿宋" w:hAnsi="仿宋" w:eastAsia="仿宋"/>
          <w:sz w:val="32"/>
          <w:szCs w:val="32"/>
          <w:lang w:eastAsia="zh-CN"/>
        </w:rPr>
        <w:t>部门整体支出绩效总分为</w:t>
      </w:r>
      <w:r>
        <w:rPr>
          <w:rFonts w:hint="eastAsia" w:ascii="仿宋" w:hAnsi="仿宋" w:eastAsia="仿宋"/>
          <w:sz w:val="32"/>
          <w:szCs w:val="32"/>
          <w:lang w:val="en-US" w:eastAsia="zh-CN"/>
        </w:rPr>
        <w:t>98分，等级为优秀。</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pPr>
        <w:widowControl w:val="0"/>
        <w:wordWrap/>
        <w:spacing w:line="560" w:lineRule="exact"/>
        <w:ind w:left="0" w:leftChars="0" w:right="0" w:firstLine="643" w:firstLineChars="200"/>
        <w:textAlignment w:val="auto"/>
        <w:outlineLvl w:val="9"/>
        <w:rPr>
          <w:rFonts w:hint="eastAsia" w:ascii="仿宋" w:hAnsi="仿宋" w:eastAsia="仿宋"/>
          <w:b/>
          <w:bCs/>
          <w:sz w:val="32"/>
          <w:szCs w:val="32"/>
        </w:rPr>
      </w:pPr>
      <w:r>
        <w:rPr>
          <w:rFonts w:hint="eastAsia" w:ascii="仿宋" w:hAnsi="仿宋" w:eastAsia="仿宋"/>
          <w:b/>
          <w:bCs/>
          <w:sz w:val="32"/>
          <w:szCs w:val="32"/>
        </w:rPr>
        <w:t>（一）项目存在的主要问题</w:t>
      </w:r>
    </w:p>
    <w:p>
      <w:pPr>
        <w:widowControl w:val="0"/>
        <w:wordWrap/>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对</w:t>
      </w:r>
      <w:r>
        <w:rPr>
          <w:rFonts w:hint="eastAsia" w:ascii="仿宋" w:hAnsi="仿宋" w:eastAsia="仿宋"/>
          <w:sz w:val="32"/>
          <w:szCs w:val="32"/>
        </w:rPr>
        <w:t>项目预期的产出与效益的关注</w:t>
      </w:r>
      <w:r>
        <w:rPr>
          <w:rFonts w:hint="eastAsia" w:ascii="仿宋" w:hAnsi="仿宋" w:eastAsia="仿宋"/>
          <w:sz w:val="32"/>
          <w:szCs w:val="32"/>
          <w:lang w:eastAsia="zh-CN"/>
        </w:rPr>
        <w:t>度不够。</w:t>
      </w:r>
    </w:p>
    <w:p>
      <w:pPr>
        <w:widowControl w:val="0"/>
        <w:numPr>
          <w:ilvl w:val="0"/>
          <w:numId w:val="0"/>
        </w:numPr>
        <w:wordWrap/>
        <w:spacing w:line="560" w:lineRule="exact"/>
        <w:ind w:leftChars="200" w:right="0" w:rightChars="0"/>
        <w:textAlignment w:val="auto"/>
        <w:outlineLvl w:val="9"/>
        <w:rPr>
          <w:rFonts w:hint="eastAsia" w:ascii="仿宋" w:hAnsi="仿宋" w:eastAsia="仿宋"/>
          <w:b/>
          <w:bCs/>
          <w:sz w:val="32"/>
          <w:szCs w:val="32"/>
        </w:rPr>
      </w:pPr>
      <w:r>
        <w:rPr>
          <w:rFonts w:hint="eastAsia" w:ascii="仿宋" w:hAnsi="仿宋" w:eastAsia="仿宋"/>
          <w:b/>
          <w:bCs/>
          <w:sz w:val="32"/>
          <w:szCs w:val="32"/>
        </w:rPr>
        <w:t>针对问题提出具体的改进措施或建议</w:t>
      </w:r>
    </w:p>
    <w:p>
      <w:pPr>
        <w:keepNext w:val="0"/>
        <w:keepLines w:val="0"/>
        <w:pageBreakBefore w:val="0"/>
        <w:widowControl w:val="0"/>
        <w:kinsoku/>
        <w:wordWrap/>
        <w:overflowPunct/>
        <w:topLinePunct w:val="0"/>
        <w:autoSpaceDE/>
        <w:autoSpaceDN/>
        <w:bidi w:val="0"/>
        <w:adjustRightInd w:val="0"/>
        <w:snapToGrid w:val="0"/>
        <w:spacing w:line="50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rPr>
        <w:t>作为资金使用的责任单位,应当承担资金管理的主体责任,并对结果负责,提高开展绩效管理工作的积极性,提高资金使用效益</w:t>
      </w:r>
      <w:r>
        <w:rPr>
          <w:rFonts w:hint="eastAsia" w:ascii="仿宋" w:hAnsi="仿宋" w:eastAsia="仿宋"/>
          <w:sz w:val="32"/>
          <w:szCs w:val="32"/>
          <w:lang w:eastAsia="zh-CN"/>
        </w:rPr>
        <w:t>，加大对项目“产出与收益”的关注度。</w:t>
      </w: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方正小标宋_GBK">
    <w:altName w:val="微软雅黑"/>
    <w:panose1 w:val="02000000000000000000"/>
    <w:charset w:val="86"/>
    <w:family w:val="script"/>
    <w:pitch w:val="default"/>
    <w:sig w:usb0="00000000" w:usb1="00000000" w:usb2="00082016" w:usb3="00000000" w:csb0="00040001" w:csb1="00000000"/>
  </w:font>
  <w:font w:name="方正书宋_GBK">
    <w:altName w:val="微软雅黑"/>
    <w:panose1 w:val="02000000000000000000"/>
    <w:charset w:val="86"/>
    <w:family w:val="script"/>
    <w:pitch w:val="default"/>
    <w:sig w:usb0="00000000" w:usb1="00000000" w:usb2="00082016" w:usb3="00000000" w:csb0="00040001" w:csb1="00000000"/>
  </w:font>
  <w:font w:name="Microsoft Sans Serif">
    <w:panose1 w:val="020B0604020202020204"/>
    <w:charset w:val="00"/>
    <w:family w:val="auto"/>
    <w:pitch w:val="default"/>
    <w:sig w:usb0="E1002AFF" w:usb1="C0000002" w:usb2="00000008" w:usb3="00000000" w:csb0="200101FF" w:csb1="2028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2BA88887"/>
    <w:multiLevelType w:val="singleLevel"/>
    <w:tmpl w:val="2BA88887"/>
    <w:lvl w:ilvl="0" w:tentative="0">
      <w:start w:val="2"/>
      <w:numFmt w:val="chineseCounting"/>
      <w:suff w:val="nothing"/>
      <w:lvlText w:val="（%1）"/>
      <w:lvlJc w:val="left"/>
      <w:rPr>
        <w:rFonts w:hint="eastAsia"/>
      </w:rPr>
    </w:lvl>
  </w:abstractNum>
  <w:abstractNum w:abstractNumId="2">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46F331E"/>
    <w:rsid w:val="07956271"/>
    <w:rsid w:val="09721397"/>
    <w:rsid w:val="0BB63BED"/>
    <w:rsid w:val="0DE36434"/>
    <w:rsid w:val="0EB97A43"/>
    <w:rsid w:val="0EBD2122"/>
    <w:rsid w:val="0F214EAE"/>
    <w:rsid w:val="11B71E6A"/>
    <w:rsid w:val="1AAF0063"/>
    <w:rsid w:val="1BC031FC"/>
    <w:rsid w:val="1BE140DE"/>
    <w:rsid w:val="220A0D41"/>
    <w:rsid w:val="248C197D"/>
    <w:rsid w:val="252959AF"/>
    <w:rsid w:val="277A6671"/>
    <w:rsid w:val="292D35B7"/>
    <w:rsid w:val="2A66447F"/>
    <w:rsid w:val="31123956"/>
    <w:rsid w:val="33EB6CFF"/>
    <w:rsid w:val="35A12947"/>
    <w:rsid w:val="37387040"/>
    <w:rsid w:val="3AE57D2D"/>
    <w:rsid w:val="3B625C0A"/>
    <w:rsid w:val="3CEE1963"/>
    <w:rsid w:val="41405157"/>
    <w:rsid w:val="49102E2C"/>
    <w:rsid w:val="4ADF17E2"/>
    <w:rsid w:val="4C9C27FE"/>
    <w:rsid w:val="512260B4"/>
    <w:rsid w:val="52BD6ACB"/>
    <w:rsid w:val="547C21BB"/>
    <w:rsid w:val="55537534"/>
    <w:rsid w:val="561A74F1"/>
    <w:rsid w:val="57CF17B9"/>
    <w:rsid w:val="597244E8"/>
    <w:rsid w:val="59AA682C"/>
    <w:rsid w:val="5EB71C30"/>
    <w:rsid w:val="64C57F1B"/>
    <w:rsid w:val="65C8787F"/>
    <w:rsid w:val="66AF0CE5"/>
    <w:rsid w:val="6AC537CF"/>
    <w:rsid w:val="6CF84C3C"/>
    <w:rsid w:val="6E5B14A6"/>
    <w:rsid w:val="6EFF43F9"/>
    <w:rsid w:val="70F31E77"/>
    <w:rsid w:val="711B255E"/>
    <w:rsid w:val="72276C94"/>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4">
    <w:name w:val="Default Paragraph Font"/>
    <w:unhideWhenUsed/>
    <w:uiPriority w:val="1"/>
  </w:style>
  <w:style w:type="table" w:default="1" w:styleId="5">
    <w:name w:val="Normal Table"/>
    <w:unhideWhenUsed/>
    <w:qFormat/>
    <w:uiPriority w:val="99"/>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100</Words>
  <Characters>570</Characters>
  <Lines>4</Lines>
  <Paragraphs>1</Paragraphs>
  <TotalTime>1</TotalTime>
  <ScaleCrop>false</ScaleCrop>
  <LinksUpToDate>false</LinksUpToDate>
  <CharactersWithSpaces>669</CharactersWithSpaces>
  <Application>WPS Office_10.8.2.6948_F1E327BC-269C-435d-A152-05C5408002CA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lenovo</cp:lastModifiedBy>
  <cp:lastPrinted>2025-05-12T02:36:00Z</cp:lastPrinted>
  <dcterms:modified xsi:type="dcterms:W3CDTF">2026-03-18T08:34:14Z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2052-10.8.2.6948</vt:lpwstr>
  </property>
  <property fmtid="{D5CDD505-2E9C-101B-9397-08002B2CF9AE}" pid="3" name="ICV">
    <vt:lpwstr>4A19074DC8414FE6B62EBFA35238C9D8</vt:lpwstr>
  </property>
</Properties>
</file>