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5BF6">
      <w:pPr>
        <w:adjustRightInd w:val="0"/>
        <w:snapToGrid w:val="0"/>
        <w:spacing w:line="560" w:lineRule="exact"/>
        <w:rPr>
          <w:rFonts w:ascii="仿宋_GB2312" w:eastAsia="仿宋_GB2312"/>
          <w:sz w:val="32"/>
          <w:szCs w:val="32"/>
        </w:rPr>
      </w:pPr>
      <w:r>
        <w:rPr>
          <w:rFonts w:hint="eastAsia" w:ascii="仿宋_GB2312" w:eastAsia="仿宋_GB2312"/>
          <w:sz w:val="32"/>
          <w:szCs w:val="32"/>
        </w:rPr>
        <w:t>附件3</w:t>
      </w:r>
    </w:p>
    <w:p w14:paraId="0FFC9833">
      <w:pPr>
        <w:spacing w:line="560" w:lineRule="exact"/>
        <w:jc w:val="center"/>
        <w:rPr>
          <w:rFonts w:ascii="宋体" w:hAnsi="宋体" w:cs="宋体"/>
          <w:b/>
          <w:bCs/>
          <w:sz w:val="44"/>
          <w:szCs w:val="44"/>
        </w:rPr>
      </w:pPr>
    </w:p>
    <w:p w14:paraId="0F975FBC">
      <w:pPr>
        <w:pStyle w:val="2"/>
        <w:bidi w:val="0"/>
      </w:pPr>
      <w:bookmarkStart w:id="2" w:name="_GoBack"/>
      <w:r>
        <w:rPr>
          <w:rFonts w:hint="eastAsia"/>
          <w:lang w:eastAsia="zh-CN"/>
        </w:rPr>
        <w:t>石家庄市</w:t>
      </w:r>
      <w:r>
        <w:rPr>
          <w:rFonts w:hint="eastAsia"/>
        </w:rPr>
        <w:t>长安区人民政府青园街道办事处</w:t>
      </w:r>
    </w:p>
    <w:p w14:paraId="3439DBFA">
      <w:pPr>
        <w:pStyle w:val="2"/>
        <w:bidi w:val="0"/>
      </w:pPr>
      <w:r>
        <w:rPr>
          <w:rFonts w:hint="eastAsia"/>
        </w:rPr>
        <w:t>2025年度整体支出绩效自评报告</w:t>
      </w:r>
    </w:p>
    <w:bookmarkEnd w:id="2"/>
    <w:p w14:paraId="0D60C392">
      <w:pPr>
        <w:spacing w:line="560" w:lineRule="exact"/>
        <w:jc w:val="center"/>
        <w:rPr>
          <w:rFonts w:ascii="华文楷体" w:eastAsia="华文楷体"/>
          <w:sz w:val="32"/>
          <w:szCs w:val="32"/>
        </w:rPr>
      </w:pPr>
    </w:p>
    <w:p w14:paraId="362DED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贯彻落实区委区政府《关于全面落实预算绩效管理的实施意见》（长发﹝2019﹞8号）文件精神，遵循“科学性、规范性、客观性和公正性”的原则，对青园街道办事处2025年整体支出情况实施了财政支出绩效自评价，形成本评价报告。</w:t>
      </w:r>
    </w:p>
    <w:p w14:paraId="60C15557">
      <w:pPr>
        <w:adjustRightInd w:val="0"/>
        <w:snapToGrid w:val="0"/>
        <w:spacing w:line="560" w:lineRule="exact"/>
        <w:rPr>
          <w:rFonts w:ascii="黑体" w:hAnsi="黑体" w:eastAsia="黑体"/>
          <w:b/>
          <w:bCs/>
          <w:sz w:val="32"/>
          <w:szCs w:val="36"/>
        </w:rPr>
      </w:pPr>
      <w:r>
        <w:rPr>
          <w:rFonts w:hint="eastAsia" w:ascii="黑体" w:hAnsi="黑体" w:eastAsia="黑体"/>
          <w:sz w:val="32"/>
          <w:szCs w:val="32"/>
        </w:rPr>
        <w:t>一、部门</w:t>
      </w:r>
      <w:r>
        <w:rPr>
          <w:rFonts w:hint="eastAsia" w:ascii="黑体" w:hAnsi="黑体" w:eastAsia="黑体"/>
          <w:sz w:val="32"/>
          <w:szCs w:val="36"/>
        </w:rPr>
        <w:t>基本情况</w:t>
      </w:r>
    </w:p>
    <w:p w14:paraId="3EA16790">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7DA839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根据《石家庄市长安区人民政府青园街道办事处职能配置、内设机构和人员编制规定》，石家庄市长安区人民政府青园街道办事处的主要职责是：</w:t>
      </w:r>
    </w:p>
    <w:p w14:paraId="39AFA3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1</w:t>
      </w:r>
      <w:r>
        <w:rPr>
          <w:rFonts w:hint="eastAsia" w:ascii="仿宋" w:hAnsi="仿宋" w:eastAsia="仿宋"/>
          <w:sz w:val="32"/>
          <w:szCs w:val="32"/>
          <w:lang w:eastAsia="zh-CN"/>
        </w:rPr>
        <w:t>）</w:t>
      </w:r>
      <w:r>
        <w:rPr>
          <w:rFonts w:hint="eastAsia" w:ascii="仿宋" w:hAnsi="仿宋" w:eastAsia="仿宋"/>
          <w:sz w:val="32"/>
          <w:szCs w:val="32"/>
        </w:rPr>
        <w:t>宣传贯彻执行党的路线方针政策和党中央、上级党组织的决议。贯彻执行法律、法规、规章和上级人民代表大会及其常务委员会决议及上级政府的决定、命令，依法管理辖区公共事务。</w:t>
      </w:r>
    </w:p>
    <w:p w14:paraId="2224FE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2</w:t>
      </w:r>
      <w:r>
        <w:rPr>
          <w:rFonts w:hint="eastAsia" w:ascii="仿宋" w:hAnsi="仿宋" w:eastAsia="仿宋"/>
          <w:sz w:val="32"/>
          <w:szCs w:val="32"/>
          <w:lang w:eastAsia="zh-CN"/>
        </w:rPr>
        <w:t>）</w:t>
      </w:r>
      <w:r>
        <w:rPr>
          <w:rFonts w:hint="eastAsia" w:ascii="仿宋" w:hAnsi="仿宋" w:eastAsia="仿宋"/>
          <w:sz w:val="32"/>
          <w:szCs w:val="32"/>
        </w:rPr>
        <w:t>讨论和决定街道的政治建设、经济建设、文化建设、社会建设、生态文明建设等重大问题。</w:t>
      </w:r>
    </w:p>
    <w:p w14:paraId="003F8D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3</w:t>
      </w:r>
      <w:r>
        <w:rPr>
          <w:rFonts w:hint="eastAsia" w:ascii="仿宋" w:hAnsi="仿宋" w:eastAsia="仿宋"/>
          <w:sz w:val="32"/>
          <w:szCs w:val="32"/>
          <w:lang w:eastAsia="zh-CN"/>
        </w:rPr>
        <w:t>）</w:t>
      </w:r>
      <w:r>
        <w:rPr>
          <w:rFonts w:hint="eastAsia" w:ascii="仿宋" w:hAnsi="仿宋" w:eastAsia="仿宋"/>
          <w:sz w:val="32"/>
          <w:szCs w:val="32"/>
        </w:rPr>
        <w:t>组织召开本级人民代表大会，充分行使重大事项决定权、监督权和任免权，做好人大代表共和，联系选民、反映群众意见和要求。</w:t>
      </w:r>
    </w:p>
    <w:p w14:paraId="211606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4</w:t>
      </w:r>
      <w:r>
        <w:rPr>
          <w:rFonts w:hint="eastAsia" w:ascii="仿宋" w:hAnsi="仿宋" w:eastAsia="仿宋"/>
          <w:sz w:val="32"/>
          <w:szCs w:val="32"/>
          <w:lang w:eastAsia="zh-CN"/>
        </w:rPr>
        <w:t>）</w:t>
      </w:r>
      <w:r>
        <w:rPr>
          <w:rFonts w:hint="eastAsia" w:ascii="仿宋" w:hAnsi="仿宋" w:eastAsia="仿宋"/>
          <w:sz w:val="32"/>
          <w:szCs w:val="32"/>
        </w:rPr>
        <w:t>执行本辖区内的经济和社会发展计划、预算，管理本辖区内的经济、教育、科学、文化、卫生健康、体育事业和财政、统计、民政、司法等各项工作。落实辖区内的发展规划、专项规划、区域规划。</w:t>
      </w:r>
    </w:p>
    <w:p w14:paraId="64F7C8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5</w:t>
      </w:r>
      <w:r>
        <w:rPr>
          <w:rFonts w:hint="eastAsia" w:ascii="仿宋" w:hAnsi="仿宋" w:eastAsia="仿宋"/>
          <w:sz w:val="32"/>
          <w:szCs w:val="32"/>
          <w:lang w:eastAsia="zh-CN"/>
        </w:rPr>
        <w:t>）</w:t>
      </w:r>
      <w:r>
        <w:rPr>
          <w:rFonts w:hint="eastAsia" w:ascii="仿宋" w:hAnsi="仿宋" w:eastAsia="仿宋"/>
          <w:sz w:val="32"/>
          <w:szCs w:val="32"/>
        </w:rPr>
        <w:t>街道党委领导街道政权机关、群团组织和其他各类组织，加强指导和规范，支持和保证这些机关和组织依照国家法律法规以及各自章程履行职责。坚持党管武装的根本原则和制度，协调各方力量，对街道的人民武装工作实行统一领导。</w:t>
      </w:r>
    </w:p>
    <w:p w14:paraId="10CE5B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6</w:t>
      </w:r>
      <w:r>
        <w:rPr>
          <w:rFonts w:hint="eastAsia" w:ascii="仿宋" w:hAnsi="仿宋" w:eastAsia="仿宋"/>
          <w:sz w:val="32"/>
          <w:szCs w:val="32"/>
          <w:lang w:eastAsia="zh-CN"/>
        </w:rPr>
        <w:t>）</w:t>
      </w:r>
      <w:r>
        <w:rPr>
          <w:rFonts w:hint="eastAsia" w:ascii="仿宋" w:hAnsi="仿宋" w:eastAsia="仿宋"/>
          <w:sz w:val="32"/>
          <w:szCs w:val="32"/>
        </w:rPr>
        <w:t>加强街道自身建设和社区党组织建设，以及其他隶属街道党委的党组织建设，抓好发展党员工作，加强党员队伍建设。维护和执行党的纪律，监督党员干部和其他任何工作人员严格遵守国家法律法规。</w:t>
      </w:r>
    </w:p>
    <w:p w14:paraId="57A27E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7</w:t>
      </w:r>
      <w:r>
        <w:rPr>
          <w:rFonts w:hint="eastAsia" w:ascii="仿宋" w:hAnsi="仿宋" w:eastAsia="仿宋"/>
          <w:sz w:val="32"/>
          <w:szCs w:val="32"/>
          <w:lang w:eastAsia="zh-CN"/>
        </w:rPr>
        <w:t>）</w:t>
      </w:r>
      <w:r>
        <w:rPr>
          <w:rFonts w:hint="eastAsia" w:ascii="仿宋" w:hAnsi="仿宋" w:eastAsia="仿宋"/>
          <w:sz w:val="32"/>
          <w:szCs w:val="32"/>
        </w:rPr>
        <w:t>领导街道的基层治理，加强社会主义民主法治建设和精神文明建设，加强社会治安综合治理，做好应急管理、生态环保、民生保障、民族宗教、防范邪教等工作。承担民兵预备役、征兵、退役军人服务、拥军优属等工作。</w:t>
      </w:r>
    </w:p>
    <w:p w14:paraId="0FDE1B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8</w:t>
      </w:r>
      <w:r>
        <w:rPr>
          <w:rFonts w:hint="eastAsia" w:ascii="仿宋" w:hAnsi="仿宋" w:eastAsia="仿宋"/>
          <w:sz w:val="32"/>
          <w:szCs w:val="32"/>
          <w:lang w:eastAsia="zh-CN"/>
        </w:rPr>
        <w:t>）</w:t>
      </w:r>
      <w:r>
        <w:rPr>
          <w:rFonts w:hint="eastAsia" w:ascii="仿宋" w:hAnsi="仿宋" w:eastAsia="仿宋"/>
          <w:sz w:val="32"/>
          <w:szCs w:val="32"/>
        </w:rPr>
        <w:t>认真完成上级下达的其他各项工作任务。</w:t>
      </w:r>
    </w:p>
    <w:p w14:paraId="56CEF884">
      <w:pPr>
        <w:autoSpaceDE w:val="0"/>
        <w:autoSpaceDN w:val="0"/>
        <w:adjustRightInd w:val="0"/>
        <w:ind w:firstLine="643" w:firstLineChars="200"/>
        <w:jc w:val="left"/>
        <w:rPr>
          <w:rFonts w:ascii="方正仿宋_GBK" w:eastAsia="方正仿宋_GBK"/>
          <w:b/>
          <w:sz w:val="32"/>
          <w:szCs w:val="32"/>
        </w:rPr>
      </w:pPr>
      <w:r>
        <w:rPr>
          <w:rFonts w:hint="eastAsia" w:ascii="仿宋" w:hAnsi="仿宋" w:eastAsia="仿宋" w:cs="仿宋"/>
          <w:b/>
          <w:sz w:val="32"/>
          <w:szCs w:val="32"/>
        </w:rPr>
        <w:t>机构设置</w:t>
      </w:r>
      <w:r>
        <w:rPr>
          <w:rFonts w:hint="eastAsia" w:ascii="方正仿宋_GBK" w:eastAsia="方正仿宋_GBK"/>
          <w:b/>
          <w:sz w:val="32"/>
          <w:szCs w:val="32"/>
        </w:rPr>
        <w:t>：</w:t>
      </w:r>
    </w:p>
    <w:p w14:paraId="5D20CA93">
      <w:pPr>
        <w:jc w:val="center"/>
        <w:outlineLvl w:val="0"/>
        <w:rPr>
          <w:rFonts w:eastAsia="方正小标宋_GBK"/>
          <w:sz w:val="32"/>
          <w:szCs w:val="24"/>
        </w:rPr>
      </w:pPr>
      <w:r>
        <w:rPr>
          <w:rFonts w:hint="eastAsia" w:eastAsia="方正小标宋_GBK"/>
          <w:sz w:val="32"/>
          <w:szCs w:val="24"/>
        </w:rPr>
        <w:t>部门机构设置情况</w:t>
      </w:r>
    </w:p>
    <w:tbl>
      <w:tblPr>
        <w:tblStyle w:val="5"/>
        <w:tblW w:w="90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84"/>
        <w:gridCol w:w="1135"/>
        <w:gridCol w:w="1277"/>
        <w:gridCol w:w="2904"/>
      </w:tblGrid>
      <w:tr w14:paraId="498D9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3683" w:type="dxa"/>
            <w:vMerge w:val="restart"/>
            <w:tcBorders>
              <w:top w:val="single" w:color="000000" w:sz="6" w:space="0"/>
              <w:left w:val="single" w:color="000000" w:sz="6" w:space="0"/>
              <w:bottom w:val="single" w:color="000000" w:sz="6" w:space="0"/>
              <w:right w:val="single" w:color="000000" w:sz="6" w:space="0"/>
            </w:tcBorders>
            <w:vAlign w:val="center"/>
          </w:tcPr>
          <w:p w14:paraId="4E085573">
            <w:pPr>
              <w:spacing w:line="300" w:lineRule="exact"/>
              <w:jc w:val="center"/>
              <w:rPr>
                <w:rFonts w:eastAsia="方正书宋_GBK"/>
                <w:b/>
                <w:szCs w:val="24"/>
              </w:rPr>
            </w:pPr>
            <w:r>
              <w:rPr>
                <w:rFonts w:hint="eastAsia" w:eastAsia="方正书宋_GBK"/>
                <w:b/>
                <w:szCs w:val="24"/>
              </w:rPr>
              <w:t>单位名称</w:t>
            </w:r>
          </w:p>
        </w:tc>
        <w:tc>
          <w:tcPr>
            <w:tcW w:w="1134" w:type="dxa"/>
            <w:vMerge w:val="restart"/>
            <w:tcBorders>
              <w:top w:val="single" w:color="000000" w:sz="6" w:space="0"/>
              <w:left w:val="single" w:color="000000" w:sz="6" w:space="0"/>
              <w:bottom w:val="single" w:color="000000" w:sz="6" w:space="0"/>
              <w:right w:val="single" w:color="000000" w:sz="6" w:space="0"/>
            </w:tcBorders>
            <w:vAlign w:val="center"/>
          </w:tcPr>
          <w:p w14:paraId="30C2F3C5">
            <w:pPr>
              <w:spacing w:line="300" w:lineRule="exact"/>
              <w:jc w:val="center"/>
              <w:rPr>
                <w:rFonts w:eastAsia="方正书宋_GBK"/>
                <w:b/>
                <w:szCs w:val="24"/>
              </w:rPr>
            </w:pPr>
            <w:r>
              <w:rPr>
                <w:rFonts w:hint="eastAsia" w:eastAsia="方正书宋_GBK"/>
                <w:b/>
                <w:szCs w:val="24"/>
              </w:rPr>
              <w:t>单位性质</w:t>
            </w:r>
          </w:p>
        </w:tc>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420EA1FC">
            <w:pPr>
              <w:spacing w:line="300" w:lineRule="exact"/>
              <w:jc w:val="center"/>
              <w:rPr>
                <w:rFonts w:eastAsia="方正书宋_GBK"/>
                <w:b/>
                <w:szCs w:val="24"/>
              </w:rPr>
            </w:pPr>
            <w:r>
              <w:rPr>
                <w:rFonts w:hint="eastAsia" w:eastAsia="方正书宋_GBK"/>
                <w:b/>
                <w:szCs w:val="24"/>
              </w:rPr>
              <w:t>单位规格</w:t>
            </w:r>
          </w:p>
        </w:tc>
        <w:tc>
          <w:tcPr>
            <w:tcW w:w="2902" w:type="dxa"/>
            <w:vMerge w:val="restart"/>
            <w:tcBorders>
              <w:top w:val="single" w:color="000000" w:sz="6" w:space="0"/>
              <w:left w:val="single" w:color="000000" w:sz="6" w:space="0"/>
              <w:bottom w:val="single" w:color="000000" w:sz="6" w:space="0"/>
              <w:right w:val="single" w:color="000000" w:sz="6" w:space="0"/>
            </w:tcBorders>
            <w:vAlign w:val="center"/>
          </w:tcPr>
          <w:p w14:paraId="46691D15">
            <w:pPr>
              <w:spacing w:line="300" w:lineRule="exact"/>
              <w:jc w:val="center"/>
              <w:rPr>
                <w:rFonts w:eastAsia="方正书宋_GBK"/>
                <w:b/>
                <w:szCs w:val="24"/>
              </w:rPr>
            </w:pPr>
            <w:r>
              <w:rPr>
                <w:rFonts w:hint="eastAsia" w:eastAsia="方正书宋_GBK"/>
                <w:b/>
                <w:szCs w:val="24"/>
              </w:rPr>
              <w:t>经费保障形式</w:t>
            </w:r>
          </w:p>
        </w:tc>
      </w:tr>
      <w:tr w14:paraId="59E11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jc w:val="center"/>
        </w:trPr>
        <w:tc>
          <w:tcPr>
            <w:tcW w:w="3683" w:type="dxa"/>
            <w:vMerge w:val="continue"/>
            <w:tcBorders>
              <w:top w:val="single" w:color="000000" w:sz="6" w:space="0"/>
              <w:left w:val="single" w:color="000000" w:sz="6" w:space="0"/>
              <w:bottom w:val="single" w:color="000000" w:sz="6" w:space="0"/>
              <w:right w:val="single" w:color="000000" w:sz="6" w:space="0"/>
            </w:tcBorders>
            <w:vAlign w:val="center"/>
          </w:tcPr>
          <w:p w14:paraId="57993FAB">
            <w:pPr>
              <w:widowControl/>
              <w:jc w:val="left"/>
              <w:rPr>
                <w:rFonts w:eastAsia="方正书宋_GBK"/>
                <w:b/>
                <w:szCs w:val="24"/>
              </w:rPr>
            </w:pPr>
          </w:p>
        </w:tc>
        <w:tc>
          <w:tcPr>
            <w:tcW w:w="1134" w:type="dxa"/>
            <w:vMerge w:val="continue"/>
            <w:tcBorders>
              <w:top w:val="single" w:color="000000" w:sz="6" w:space="0"/>
              <w:left w:val="single" w:color="000000" w:sz="6" w:space="0"/>
              <w:bottom w:val="single" w:color="000000" w:sz="6" w:space="0"/>
              <w:right w:val="single" w:color="000000" w:sz="6" w:space="0"/>
            </w:tcBorders>
            <w:vAlign w:val="center"/>
          </w:tcPr>
          <w:p w14:paraId="2D2C5ED6">
            <w:pPr>
              <w:widowControl/>
              <w:jc w:val="left"/>
              <w:rPr>
                <w:rFonts w:eastAsia="方正书宋_GBK"/>
                <w:b/>
                <w:szCs w:val="24"/>
              </w:rPr>
            </w:pPr>
          </w:p>
        </w:tc>
        <w:tc>
          <w:tcPr>
            <w:tcW w:w="1276" w:type="dxa"/>
            <w:vMerge w:val="continue"/>
            <w:tcBorders>
              <w:top w:val="single" w:color="000000" w:sz="6" w:space="0"/>
              <w:left w:val="single" w:color="000000" w:sz="6" w:space="0"/>
              <w:bottom w:val="single" w:color="000000" w:sz="6" w:space="0"/>
              <w:right w:val="single" w:color="000000" w:sz="6" w:space="0"/>
            </w:tcBorders>
            <w:vAlign w:val="center"/>
          </w:tcPr>
          <w:p w14:paraId="1A3EF7CF">
            <w:pPr>
              <w:widowControl/>
              <w:jc w:val="left"/>
              <w:rPr>
                <w:rFonts w:eastAsia="方正书宋_GBK"/>
                <w:b/>
                <w:szCs w:val="24"/>
              </w:rPr>
            </w:pPr>
          </w:p>
        </w:tc>
        <w:tc>
          <w:tcPr>
            <w:tcW w:w="2902" w:type="dxa"/>
            <w:vMerge w:val="continue"/>
            <w:tcBorders>
              <w:top w:val="single" w:color="000000" w:sz="6" w:space="0"/>
              <w:left w:val="single" w:color="000000" w:sz="6" w:space="0"/>
              <w:bottom w:val="single" w:color="000000" w:sz="6" w:space="0"/>
              <w:right w:val="single" w:color="000000" w:sz="6" w:space="0"/>
            </w:tcBorders>
            <w:vAlign w:val="center"/>
          </w:tcPr>
          <w:p w14:paraId="7CB57F49">
            <w:pPr>
              <w:widowControl/>
              <w:jc w:val="left"/>
              <w:rPr>
                <w:rFonts w:eastAsia="方正书宋_GBK"/>
                <w:b/>
                <w:szCs w:val="24"/>
              </w:rPr>
            </w:pPr>
          </w:p>
        </w:tc>
      </w:tr>
      <w:tr w14:paraId="489CF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3683" w:type="dxa"/>
            <w:tcBorders>
              <w:top w:val="single" w:color="000000" w:sz="6" w:space="0"/>
              <w:left w:val="single" w:color="000000" w:sz="6" w:space="0"/>
              <w:bottom w:val="single" w:color="000000" w:sz="6" w:space="0"/>
              <w:right w:val="single" w:color="000000" w:sz="6" w:space="0"/>
            </w:tcBorders>
            <w:vAlign w:val="center"/>
          </w:tcPr>
          <w:p w14:paraId="2A6835D6">
            <w:pPr>
              <w:spacing w:line="300" w:lineRule="exact"/>
              <w:jc w:val="center"/>
              <w:rPr>
                <w:rFonts w:ascii="仿宋" w:hAnsi="仿宋" w:eastAsia="仿宋"/>
                <w:szCs w:val="24"/>
              </w:rPr>
            </w:pPr>
            <w:r>
              <w:rPr>
                <w:rFonts w:hint="eastAsia" w:eastAsia="仿宋"/>
                <w:kern w:val="0"/>
                <w:sz w:val="22"/>
              </w:rPr>
              <w:t>长安区人民政府青园街道办事处</w:t>
            </w:r>
          </w:p>
        </w:tc>
        <w:tc>
          <w:tcPr>
            <w:tcW w:w="1134" w:type="dxa"/>
            <w:tcBorders>
              <w:top w:val="single" w:color="000000" w:sz="6" w:space="0"/>
              <w:left w:val="single" w:color="000000" w:sz="6" w:space="0"/>
              <w:bottom w:val="single" w:color="000000" w:sz="6" w:space="0"/>
              <w:right w:val="single" w:color="000000" w:sz="6" w:space="0"/>
            </w:tcBorders>
            <w:vAlign w:val="center"/>
          </w:tcPr>
          <w:p w14:paraId="7AE61546">
            <w:pPr>
              <w:spacing w:line="300" w:lineRule="exact"/>
              <w:jc w:val="center"/>
              <w:rPr>
                <w:rFonts w:ascii="仿宋" w:hAnsi="仿宋" w:eastAsia="仿宋"/>
                <w:szCs w:val="24"/>
              </w:rPr>
            </w:pPr>
            <w:r>
              <w:rPr>
                <w:rFonts w:hint="eastAsia" w:ascii="仿宋" w:hAnsi="仿宋" w:eastAsia="仿宋"/>
                <w:szCs w:val="24"/>
              </w:rPr>
              <w:t>行政</w:t>
            </w:r>
          </w:p>
        </w:tc>
        <w:tc>
          <w:tcPr>
            <w:tcW w:w="1276" w:type="dxa"/>
            <w:tcBorders>
              <w:top w:val="single" w:color="000000" w:sz="6" w:space="0"/>
              <w:left w:val="single" w:color="000000" w:sz="6" w:space="0"/>
              <w:bottom w:val="single" w:color="000000" w:sz="6" w:space="0"/>
              <w:right w:val="single" w:color="000000" w:sz="6" w:space="0"/>
            </w:tcBorders>
            <w:vAlign w:val="center"/>
          </w:tcPr>
          <w:p w14:paraId="67CB2A05">
            <w:pPr>
              <w:spacing w:line="300" w:lineRule="exact"/>
              <w:jc w:val="center"/>
              <w:rPr>
                <w:rFonts w:ascii="仿宋" w:hAnsi="仿宋" w:eastAsia="仿宋"/>
                <w:szCs w:val="24"/>
              </w:rPr>
            </w:pPr>
            <w:r>
              <w:rPr>
                <w:rFonts w:hint="eastAsia" w:ascii="仿宋" w:hAnsi="仿宋" w:eastAsia="仿宋"/>
                <w:szCs w:val="24"/>
              </w:rPr>
              <w:t>正科级</w:t>
            </w:r>
          </w:p>
        </w:tc>
        <w:tc>
          <w:tcPr>
            <w:tcW w:w="2902" w:type="dxa"/>
            <w:tcBorders>
              <w:top w:val="single" w:color="000000" w:sz="6" w:space="0"/>
              <w:left w:val="single" w:color="000000" w:sz="6" w:space="0"/>
              <w:bottom w:val="single" w:color="000000" w:sz="6" w:space="0"/>
              <w:right w:val="single" w:color="000000" w:sz="6" w:space="0"/>
            </w:tcBorders>
            <w:vAlign w:val="center"/>
          </w:tcPr>
          <w:p w14:paraId="7817EAF0">
            <w:pPr>
              <w:spacing w:line="300" w:lineRule="exact"/>
              <w:jc w:val="center"/>
              <w:rPr>
                <w:rFonts w:ascii="仿宋" w:hAnsi="仿宋" w:eastAsia="仿宋"/>
                <w:szCs w:val="24"/>
              </w:rPr>
            </w:pPr>
            <w:r>
              <w:rPr>
                <w:rFonts w:hint="eastAsia" w:ascii="仿宋" w:hAnsi="仿宋" w:eastAsia="仿宋"/>
                <w:szCs w:val="24"/>
              </w:rPr>
              <w:t>财政拨款</w:t>
            </w:r>
          </w:p>
        </w:tc>
      </w:tr>
    </w:tbl>
    <w:p w14:paraId="482F6DA0">
      <w:pPr>
        <w:snapToGrid w:val="0"/>
        <w:spacing w:line="520" w:lineRule="exact"/>
        <w:ind w:firstLine="643" w:firstLineChars="200"/>
        <w:rPr>
          <w:rFonts w:ascii="仿宋" w:hAnsi="仿宋" w:eastAsia="仿宋"/>
          <w:b/>
          <w:bCs/>
          <w:sz w:val="32"/>
          <w:szCs w:val="32"/>
        </w:rPr>
      </w:pPr>
      <w:r>
        <w:rPr>
          <w:rFonts w:hint="eastAsia" w:ascii="仿宋" w:hAnsi="仿宋" w:eastAsia="仿宋"/>
          <w:b/>
          <w:bCs/>
          <w:sz w:val="32"/>
          <w:szCs w:val="32"/>
        </w:rPr>
        <w:t>人员情况</w:t>
      </w:r>
    </w:p>
    <w:p w14:paraId="5E8D6EFC">
      <w:pPr>
        <w:snapToGrid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今年实有117人，上年实有</w:t>
      </w:r>
      <w:r>
        <w:rPr>
          <w:rFonts w:ascii="仿宋" w:hAnsi="仿宋" w:eastAsia="仿宋"/>
          <w:color w:val="000000"/>
          <w:sz w:val="32"/>
          <w:szCs w:val="32"/>
        </w:rPr>
        <w:t>105</w:t>
      </w:r>
      <w:r>
        <w:rPr>
          <w:rFonts w:hint="eastAsia" w:ascii="仿宋" w:hAnsi="仿宋" w:eastAsia="仿宋"/>
          <w:color w:val="000000"/>
          <w:sz w:val="32"/>
          <w:szCs w:val="32"/>
        </w:rPr>
        <w:t>人，人员增加主要原因为人员正常调入。</w:t>
      </w:r>
    </w:p>
    <w:p w14:paraId="72E7ADE8">
      <w:pPr>
        <w:snapToGrid w:val="0"/>
        <w:spacing w:line="52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资产情况</w:t>
      </w:r>
    </w:p>
    <w:p w14:paraId="3D07A0DB">
      <w:pPr>
        <w:snapToGrid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2025年年末资产合计</w:t>
      </w:r>
      <w:r>
        <w:rPr>
          <w:rFonts w:ascii="仿宋" w:hAnsi="仿宋" w:eastAsia="仿宋"/>
          <w:color w:val="000000"/>
          <w:sz w:val="32"/>
          <w:szCs w:val="32"/>
        </w:rPr>
        <w:t>1571.91</w:t>
      </w:r>
      <w:r>
        <w:rPr>
          <w:rFonts w:hint="eastAsia" w:ascii="仿宋" w:hAnsi="仿宋" w:eastAsia="仿宋"/>
          <w:color w:val="000000"/>
          <w:sz w:val="32"/>
          <w:szCs w:val="32"/>
        </w:rPr>
        <w:t>万元。</w:t>
      </w:r>
    </w:p>
    <w:p w14:paraId="7510B73D">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（二）部门收支预决算情况</w:t>
      </w:r>
    </w:p>
    <w:p w14:paraId="3E826E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青园街道办事处2025年收入总计2094.78万元，其中：一般公共预算财政拨款收入1988.28万元，上年结转结余106.5万元。比上年减少920.3万元，减少30.52%。2025年一般公共预算财政拨款支出2094.78万元，比上年减少920.3万元，减少30.52%，主要是因为人员减少及大气污染防治项目减少。包括：基本支出1670.14万元，比上年减少了3.07万元，减幅0.18%，主要是大学生社工的离职致人员经费比上年有所减少。项目支出424.64万元，比上年减少917.23万元，增幅68.35%，主要大气污染防治项目减少。</w:t>
      </w:r>
    </w:p>
    <w:p w14:paraId="1E24B8E7">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297678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我街道总体发展规划目标是：以习近平新时代中国特色社会主义思想为统领，深入贯彻落实党的十九届六中全会精神，紧扣人民对美好生活的需要，着力解决发展不平衡不充分问题，我街道将牢固树立为民意识，突出为民发展，办好为民实事，真正让群众得到实惠。全力改善民生，在服务民生工作上求改善；小区建设整治工作再上台阶，全方位提升城区品质;大力发展经济，招商引资上求突破,经济运行总体平稳;强化理论武装，基层党建上求深化、社区建设上求精细、党风廉政建设不断深入；社会稳定上求提升，维护社会稳定安全，促进辖区社会和谐稳定；全面推动我街道各项工作再上新台阶，进一步提高人民群众获得感、幸福感、安全感，为建设经济强区、美丽长安做出新贡献。</w:t>
      </w:r>
    </w:p>
    <w:p w14:paraId="631A511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二、自评工作开展情况</w:t>
      </w:r>
    </w:p>
    <w:p w14:paraId="00548C30">
      <w:pPr>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cs="楷体_GB2312"/>
          <w:sz w:val="32"/>
          <w:szCs w:val="32"/>
        </w:rPr>
      </w:pPr>
      <w:r>
        <w:rPr>
          <w:rFonts w:hint="eastAsia" w:ascii="楷体" w:hAnsi="楷体" w:eastAsia="楷体" w:cs="楷体_GB2312"/>
          <w:bCs/>
          <w:sz w:val="32"/>
          <w:szCs w:val="32"/>
        </w:rPr>
        <w:t>（一）自评的组织工作</w:t>
      </w:r>
    </w:p>
    <w:p w14:paraId="267A24C3">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成立由街道主要领导任组长、分管领导任副组长，经济科、党政办、各相关部门及社区负责人为成员的自评领导小组，统筹推进自评工作</w:t>
      </w:r>
      <w:r>
        <w:rPr>
          <w:rFonts w:ascii="仿宋" w:hAnsi="仿宋" w:eastAsia="仿宋"/>
          <w:sz w:val="32"/>
          <w:szCs w:val="32"/>
        </w:rPr>
        <w:t>，</w:t>
      </w:r>
      <w:r>
        <w:rPr>
          <w:rFonts w:hint="eastAsia" w:ascii="仿宋" w:hAnsi="仿宋" w:eastAsia="仿宋"/>
          <w:sz w:val="32"/>
          <w:szCs w:val="32"/>
        </w:rPr>
        <w:t>负责日常组织协调、流程把控、资料汇总及报告撰写，明确各成员单位职责分工，层层落实责任，确保自评工作落地见效。</w:t>
      </w:r>
    </w:p>
    <w:p w14:paraId="3FE2DDF4">
      <w:pPr>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（二）自评的方法和过程</w:t>
      </w:r>
    </w:p>
    <w:p w14:paraId="5E451136">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1.项目资料收集</w:t>
      </w:r>
    </w:p>
    <w:p w14:paraId="397169F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按照自评要求，各相关单位分工收集各类佐证资料，确保资料齐全、真实可溯</w:t>
      </w:r>
      <w:r>
        <w:rPr>
          <w:rFonts w:hint="eastAsia" w:ascii="仿宋" w:hAnsi="仿宋" w:eastAsia="仿宋"/>
          <w:sz w:val="32"/>
          <w:szCs w:val="32"/>
          <w:lang w:eastAsia="zh-CN"/>
        </w:rPr>
        <w:t>。</w:t>
      </w:r>
    </w:p>
    <w:p w14:paraId="3FF0AD09">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项目实施资料：实施方案、立项批复、施工及运维合同、验收报告、巡查记录、整改台账、现场照片等；</w:t>
      </w:r>
    </w:p>
    <w:p w14:paraId="0F2B0F8F">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hint="eastAsia" w:ascii="仿宋" w:hAnsi="仿宋" w:eastAsia="仿宋"/>
          <w:sz w:val="32"/>
          <w:szCs w:val="32"/>
        </w:rPr>
        <w:t>资金管理资料：预算文件、拨款凭证、支出台账、财务审计资料等；</w:t>
      </w:r>
    </w:p>
    <w:p w14:paraId="020099E6">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hint="eastAsia" w:ascii="仿宋" w:hAnsi="仿宋" w:eastAsia="仿宋"/>
          <w:sz w:val="32"/>
          <w:szCs w:val="32"/>
        </w:rPr>
        <w:t>绩效相关资料：监测数据、宣传培训记录、群众反馈、满意度调查结果等；</w:t>
      </w:r>
    </w:p>
    <w:p w14:paraId="6C1CC1D4">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各单位按职责将资料整理归档后，由办公室汇总审核、分类留存。</w:t>
      </w:r>
    </w:p>
    <w:p w14:paraId="2644C17A">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2.评价过程</w:t>
      </w:r>
    </w:p>
    <w:p w14:paraId="36BF3F9C">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严格遵循“客观公正、实事求是”原则，规范开展评价工作，流程精简高效</w:t>
      </w:r>
      <w:r>
        <w:rPr>
          <w:rFonts w:hint="eastAsia" w:ascii="仿宋" w:hAnsi="仿宋" w:eastAsia="仿宋"/>
          <w:sz w:val="32"/>
          <w:szCs w:val="32"/>
          <w:lang w:eastAsia="zh-CN"/>
        </w:rPr>
        <w:t>。</w:t>
      </w:r>
    </w:p>
    <w:p w14:paraId="61F818CA">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资料核查：自评</w:t>
      </w:r>
      <w:r>
        <w:rPr>
          <w:rFonts w:ascii="仿宋" w:hAnsi="仿宋" w:eastAsia="仿宋"/>
          <w:sz w:val="32"/>
          <w:szCs w:val="32"/>
        </w:rPr>
        <w:t>小组</w:t>
      </w:r>
      <w:r>
        <w:rPr>
          <w:rFonts w:hint="eastAsia" w:ascii="仿宋" w:hAnsi="仿宋" w:eastAsia="仿宋"/>
          <w:sz w:val="32"/>
          <w:szCs w:val="32"/>
        </w:rPr>
        <w:t>牵头，对照自评依据及绩效指标，对收集的各类资料逐一核查，确认资料真实性、完整性；</w:t>
      </w:r>
    </w:p>
    <w:p w14:paraId="05DBE46A">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hint="eastAsia" w:ascii="仿宋" w:hAnsi="仿宋" w:eastAsia="仿宋"/>
          <w:sz w:val="32"/>
          <w:szCs w:val="32"/>
        </w:rPr>
        <w:t>现场勘查：组织各成员单位开展现场核查，比对项目实际完成情况与既定目标，核实设施运行、环境治理等成效；</w:t>
      </w:r>
    </w:p>
    <w:p w14:paraId="5FD6609E">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hint="eastAsia" w:ascii="仿宋" w:hAnsi="仿宋" w:eastAsia="仿宋"/>
          <w:sz w:val="32"/>
          <w:szCs w:val="32"/>
        </w:rPr>
        <w:t>数据比对与评分：结合资料核查、现场勘查结果，对照绩效指标逐项打分，形成初步评价结果；</w:t>
      </w:r>
    </w:p>
    <w:p w14:paraId="3E456A63">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4</w:t>
      </w:r>
      <w:r>
        <w:rPr>
          <w:rFonts w:hint="eastAsia" w:ascii="仿宋" w:hAnsi="仿宋" w:eastAsia="仿宋"/>
          <w:sz w:val="32"/>
          <w:szCs w:val="32"/>
          <w:lang w:eastAsia="zh-CN"/>
        </w:rPr>
        <w:t>）</w:t>
      </w:r>
      <w:r>
        <w:rPr>
          <w:rFonts w:hint="eastAsia" w:ascii="仿宋" w:hAnsi="仿宋" w:eastAsia="仿宋"/>
          <w:sz w:val="32"/>
          <w:szCs w:val="32"/>
        </w:rPr>
        <w:t>问题整改与完善：梳理评价中发现的问题，明确整改责任及时限，完成整改后，修改完善评价结果及自评报告，经领导小组审定后定稿</w:t>
      </w:r>
    </w:p>
    <w:p w14:paraId="125113B7">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b/>
          <w:bCs/>
          <w:sz w:val="32"/>
          <w:szCs w:val="32"/>
        </w:rPr>
      </w:pPr>
      <w:r>
        <w:rPr>
          <w:rFonts w:hint="eastAsia" w:ascii="黑体" w:hAnsi="黑体" w:eastAsia="黑体"/>
          <w:sz w:val="32"/>
          <w:szCs w:val="32"/>
        </w:rPr>
        <w:t>三、部门整体支出绩效目标实现情况及指标分析</w:t>
      </w:r>
    </w:p>
    <w:p w14:paraId="6BE56030">
      <w:pPr>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3F94EA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根据预算绩效管理要求，本单位组织对2025年度一般公共预算项目支出全面开展绩效自评，涉及街镇工作经费、社区党建、薪酬制社工等项目。按照上级部门和项目实施目的，绩效自评等级为“良好”及以上。</w:t>
      </w:r>
    </w:p>
    <w:p w14:paraId="1F878CF2">
      <w:pPr>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bCs/>
          <w:sz w:val="32"/>
          <w:szCs w:val="32"/>
        </w:rPr>
      </w:pPr>
      <w:r>
        <w:rPr>
          <w:rFonts w:hint="eastAsia" w:ascii="楷体" w:hAnsi="楷体" w:eastAsia="楷体" w:cs="楷体_GB2312"/>
          <w:bCs/>
          <w:sz w:val="32"/>
          <w:szCs w:val="32"/>
        </w:rPr>
        <w:t>（二）分项绩效目标实现情况及指标分析</w:t>
      </w:r>
    </w:p>
    <w:p w14:paraId="038175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科学规范。绩效评价注重财政支出的经济性、效率性和有效性，严格执行规定的程序，采用定量与定性分析相结合的方法。公正公开。绩效评价客观、公正，标准统一、资料可靠，依法公开。绩效相关。绩效评价针对具体支出及其产出绩效进行评价，结果清晰反映支出和产出绩效之间的紧密对应关系。</w:t>
      </w:r>
    </w:p>
    <w:p w14:paraId="154315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在数据采集时，采取客观的数据，保证各项指标的真实性。保证评价结果的真实性、公正性，提高评价报告的公信力。</w:t>
      </w:r>
      <w:bookmarkStart w:id="0" w:name="page5"/>
      <w:bookmarkEnd w:id="0"/>
      <w:r>
        <w:rPr>
          <w:rFonts w:hint="eastAsia" w:ascii="仿宋" w:hAnsi="仿宋" w:eastAsia="仿宋"/>
          <w:sz w:val="32"/>
          <w:szCs w:val="32"/>
        </w:rPr>
        <w:t>绩效评价报告应当简明扼要，除了对绩效评价的过程、结果描述外，还应指出问题及可能存在的风险，并就共性问题提出可操作性改进建议。</w:t>
      </w:r>
    </w:p>
    <w:p w14:paraId="1BBE6355">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四、评价结论和评价等级</w:t>
      </w:r>
    </w:p>
    <w:p w14:paraId="2ACCE4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根据项目执行情况和项目绩效情况，给出总得分，指标体系设定满分100分，得出综合评价结论和项目综合绩效评价等级。项目综合绩效评价分为4个等级：得分≥95分为优秀；80≤得分＜95分为良好；60≤得分＜80分为一般；得分＜60分为较差。评价小组通过对相关文件的解读和现场调研，采用问卷调查、访谈、核查财务数据、填报基础数据表等方式，采集相关信息和数据并进行统计、汇总和分析，按照评价工作方</w:t>
      </w:r>
      <w:bookmarkStart w:id="1" w:name="page13"/>
      <w:bookmarkEnd w:id="1"/>
      <w:r>
        <w:rPr>
          <w:rFonts w:hint="eastAsia" w:ascii="仿宋" w:hAnsi="仿宋" w:eastAsia="仿宋"/>
          <w:sz w:val="32"/>
          <w:szCs w:val="32"/>
        </w:rPr>
        <w:t>案确定的指标体系及评分标准，进行客观、公正地独立评价，项目最终得分“93”分，绩效评价等级为“良”。其中：项目决策类指标权重为16分，实际得分为16分；项目管理类指标权重为30分，实际得分为28分；项目绩效类指标权重为54分，实际得分为49分。</w:t>
      </w:r>
    </w:p>
    <w:p w14:paraId="2BFAF868">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五、存在的问题及改进措施</w:t>
      </w:r>
    </w:p>
    <w:p w14:paraId="6B632109">
      <w:pPr>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bCs/>
          <w:sz w:val="32"/>
          <w:szCs w:val="32"/>
        </w:rPr>
      </w:pPr>
      <w:r>
        <w:rPr>
          <w:rFonts w:hint="eastAsia" w:ascii="楷体" w:hAnsi="楷体" w:eastAsia="楷体"/>
          <w:bCs/>
          <w:sz w:val="32"/>
          <w:szCs w:val="32"/>
        </w:rPr>
        <w:t>（一）存在的主要问题</w:t>
      </w:r>
    </w:p>
    <w:p w14:paraId="7EF342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项目绩效跟踪与动态监控机制需进一步完善，全过程绩效管理深度有待加强。</w:t>
      </w:r>
    </w:p>
    <w:p w14:paraId="7E3AB6CB">
      <w:pPr>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bCs/>
          <w:sz w:val="32"/>
          <w:szCs w:val="32"/>
        </w:rPr>
      </w:pPr>
      <w:r>
        <w:rPr>
          <w:rFonts w:hint="eastAsia" w:ascii="楷体" w:hAnsi="楷体" w:eastAsia="楷体"/>
          <w:bCs/>
          <w:sz w:val="32"/>
          <w:szCs w:val="32"/>
        </w:rPr>
        <w:t>（二）针对问题提出具体的改进措施或建议</w:t>
      </w:r>
    </w:p>
    <w:p w14:paraId="4CF667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健全全过程绩效管理体系，加强资金使用动态监控，定期开展绩效跟踪，确保资金规范、安全、高效使用。持续聚焦生态环保示范区建设目标，优化资金投向，突出重点工程与关键任务，巩固提升生态环境治理成效，确保项目绩效目标全面实现。</w:t>
      </w:r>
    </w:p>
    <w:p w14:paraId="6AEC1F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sz w:val="32"/>
          <w:szCs w:val="32"/>
        </w:rPr>
      </w:pPr>
    </w:p>
    <w:p w14:paraId="59FD42F9">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F6D66">
    <w:pPr>
      <w:pStyle w:val="3"/>
    </w:pPr>
    <w:r>
      <w:pict>
        <v:shape id="Quad Arrow 3073" o:spid="_x0000_s3073"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7096C65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- 3 -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EBD2122"/>
    <w:rsid w:val="000B0260"/>
    <w:rsid w:val="006F44DA"/>
    <w:rsid w:val="007E6C1F"/>
    <w:rsid w:val="00956A93"/>
    <w:rsid w:val="009E575C"/>
    <w:rsid w:val="00AF167E"/>
    <w:rsid w:val="00AF566A"/>
    <w:rsid w:val="00B478EA"/>
    <w:rsid w:val="00B6553A"/>
    <w:rsid w:val="00BC6576"/>
    <w:rsid w:val="00C6236A"/>
    <w:rsid w:val="00CE06BA"/>
    <w:rsid w:val="00F441CC"/>
    <w:rsid w:val="00F86CCA"/>
    <w:rsid w:val="00FD3915"/>
    <w:rsid w:val="01B104CA"/>
    <w:rsid w:val="02106AB0"/>
    <w:rsid w:val="02B43A28"/>
    <w:rsid w:val="046F331E"/>
    <w:rsid w:val="07956271"/>
    <w:rsid w:val="09721397"/>
    <w:rsid w:val="0BB63BED"/>
    <w:rsid w:val="0EB97A43"/>
    <w:rsid w:val="0EBD2122"/>
    <w:rsid w:val="0F214EAE"/>
    <w:rsid w:val="11B71E6A"/>
    <w:rsid w:val="1AAF0063"/>
    <w:rsid w:val="1BE140DE"/>
    <w:rsid w:val="220A0D41"/>
    <w:rsid w:val="248C197D"/>
    <w:rsid w:val="252959AF"/>
    <w:rsid w:val="277A6671"/>
    <w:rsid w:val="292D35B7"/>
    <w:rsid w:val="2DD46EC0"/>
    <w:rsid w:val="33EB6CFF"/>
    <w:rsid w:val="35A12947"/>
    <w:rsid w:val="37387040"/>
    <w:rsid w:val="3B625C0A"/>
    <w:rsid w:val="3CEE1963"/>
    <w:rsid w:val="4C9C27FE"/>
    <w:rsid w:val="512260B4"/>
    <w:rsid w:val="52BD6ACB"/>
    <w:rsid w:val="55537534"/>
    <w:rsid w:val="561A74F1"/>
    <w:rsid w:val="597244E8"/>
    <w:rsid w:val="59AA682C"/>
    <w:rsid w:val="5C813E68"/>
    <w:rsid w:val="5EB71C30"/>
    <w:rsid w:val="66AF0CE5"/>
    <w:rsid w:val="6AC537CF"/>
    <w:rsid w:val="6E5B14A6"/>
    <w:rsid w:val="711B255E"/>
    <w:rsid w:val="72276C94"/>
    <w:rsid w:val="7BB51E06"/>
    <w:rsid w:val="7C387F7C"/>
    <w:rsid w:val="7FE83423"/>
    <w:rsid w:val="DFDDEB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ind w:firstLine="0" w:firstLineChars="0"/>
      <w:jc w:val="center"/>
      <w:outlineLvl w:val="0"/>
    </w:pPr>
    <w:rPr>
      <w:rFonts w:eastAsia="方正小标宋简体" w:cs="Times New Roman"/>
      <w:kern w:val="44"/>
      <w:sz w:val="44"/>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471</Words>
  <Characters>2688</Characters>
  <Lines>22</Lines>
  <Paragraphs>6</Paragraphs>
  <TotalTime>107</TotalTime>
  <ScaleCrop>false</ScaleCrop>
  <LinksUpToDate>false</LinksUpToDate>
  <CharactersWithSpaces>3153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2020-02-04T19:46:00Z</dcterms:created>
  <dc:creator>欣欣大人</dc:creator>
  <cp:lastModifiedBy>user</cp:lastModifiedBy>
  <cp:lastPrinted>2026-03-17T18:41:00Z</cp:lastPrinted>
  <dcterms:modified xsi:type="dcterms:W3CDTF">2026-04-14T16:22:26Z</dcterms:modified>
  <dc:title>附件3：</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4A19074DC8414FE6B62EBFA35238C9D8</vt:lpwstr>
  </property>
  <property fmtid="{D5CDD505-2E9C-101B-9397-08002B2CF9AE}" pid="4" name="KSOTemplateDocerSaveRecord">
    <vt:lpwstr>eyJoZGlkIjoiMmNjZjgyZDc1ODg5YTEzODliNDg0NGJmZDUwNTM5NWEiLCJ1c2VySWQiOiIxNjg4OTIxNjM5In0=</vt:lpwstr>
  </property>
</Properties>
</file>