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1E665E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</w:p>
    <w:p w14:paraId="4C38BCB4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政府办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2025年度整体支出绩效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 w14:paraId="2A42FDE8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 w14:paraId="0B1DC6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我办</w:t>
      </w: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市委市政府《关于全面落实预算绩效管理的实施意见》（石发﹝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政府办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2025年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</w:t>
      </w:r>
      <w:r>
        <w:rPr>
          <w:rFonts w:hint="eastAsia" w:ascii="仿宋" w:hAnsi="仿宋" w:eastAsia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/>
          <w:sz w:val="32"/>
          <w:szCs w:val="32"/>
        </w:rPr>
        <w:t>报告。</w:t>
      </w:r>
    </w:p>
    <w:p w14:paraId="003A1C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6BC6B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 w14:paraId="7A5CA6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政府办是正科级单位，下设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/>
          <w:sz w:val="32"/>
          <w:szCs w:val="32"/>
          <w:lang w:eastAsia="zh-CN"/>
        </w:rPr>
        <w:t>个事业单位，分别为：网络中心、经济协同研究中心、金融服务中心，下设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10个股室，分别为综合一股、综合二股、综合三股、综合四股、秘书股、人事财务股、督查股、政务公开办公室、金融管理股、公开电话股。行政人员编制39个，事业人员编制21个。</w:t>
      </w:r>
    </w:p>
    <w:p w14:paraId="143992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8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部门职能：一是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协助区政府领导组织起草或审核上报市政府、市政府办公室和致函市政府各部门的公文，以及以区政府、区政府办公室名义发布的公文；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负责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政府、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区政府办公室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日常公文办理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。二是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负责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区政府领导活动的组织和协调工作；负责区政府会议的准备和服务工作，协助区政府领导组织落实会议决定事项。三是研究区政府各部门和各镇政府、街道办事处请示区政府的事项，提出审核意见，报区政府领导审批。四是组织起草区政府领导重要讲话及其他重要文稿。五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组织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承办人大代表建议和政协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委员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</w:rPr>
        <w:t>提案工作。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六是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负责区政府值班工作。七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是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负责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政府和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政府办公室政务公开、政府信息公开、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服务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工作。八</w:t>
      </w:r>
      <w:r>
        <w:rPr>
          <w:rFonts w:hint="eastAsia" w:ascii="仿宋_GB2312" w:hAnsi="仿宋_GB2312" w:eastAsia="仿宋_GB2312" w:cs="仿宋_GB2312"/>
          <w:strike w:val="0"/>
          <w:dstrike w:val="0"/>
          <w:sz w:val="32"/>
          <w:szCs w:val="32"/>
          <w:u w:val="none"/>
          <w:lang w:eastAsia="zh-CN"/>
        </w:rPr>
        <w:t>是统筹协调辖区内金融相关工作，拟订金融工作发展规划和年度工作计划并组织实施；负责辖区内各类地方金融组织的监督管理、规范发展和风险处置工作，协调各类金融机构支持服务实体经济；打击非法金融活动。九</w:t>
      </w:r>
      <w:r>
        <w:rPr>
          <w:rFonts w:hint="eastAsia" w:ascii="仿宋_GB2312" w:hAnsi="仿宋_GB2312" w:eastAsia="仿宋_GB2312" w:cs="仿宋_GB2312"/>
          <w:strike w:val="0"/>
          <w:dstrike w:val="0"/>
          <w:sz w:val="32"/>
          <w:szCs w:val="32"/>
          <w:u w:val="none"/>
          <w:lang w:val="en-US" w:eastAsia="zh-CN"/>
        </w:rPr>
        <w:t>是负责群众来信来访、公开电话，以及公务接待工作。十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  <w:lang w:eastAsia="zh-CN"/>
        </w:rPr>
        <w:t>是完成区政府交办的其他任务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</w:rPr>
        <w:t>。</w:t>
      </w:r>
    </w:p>
    <w:p w14:paraId="092DBD6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 w14:paraId="218ABA8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年度预算</w:t>
      </w:r>
      <w:r>
        <w:rPr>
          <w:rFonts w:hint="eastAsia" w:ascii="仿宋_GB2312" w:hAnsi="仿宋" w:eastAsia="仿宋_GB2312"/>
          <w:sz w:val="32"/>
          <w:szCs w:val="32"/>
        </w:rPr>
        <w:t>收入</w:t>
      </w:r>
      <w:r>
        <w:rPr>
          <w:rFonts w:hint="eastAsia" w:ascii="Times New Roman" w:hAnsi="Times New Roman" w:eastAsia="仿宋" w:cs="Times New Roman"/>
          <w:kern w:val="0"/>
          <w:sz w:val="32"/>
          <w:szCs w:val="32"/>
          <w:lang w:val="en-US" w:eastAsia="zh-CN"/>
        </w:rPr>
        <w:t>1293.24</w:t>
      </w:r>
      <w:r>
        <w:rPr>
          <w:rFonts w:hint="eastAsia" w:ascii="仿宋_GB2312" w:hAnsi="仿宋" w:eastAsia="仿宋_GB2312"/>
          <w:sz w:val="32"/>
          <w:szCs w:val="32"/>
        </w:rPr>
        <w:t>万元，当年部门支出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1293.24</w:t>
      </w:r>
      <w:r>
        <w:rPr>
          <w:rFonts w:hint="eastAsia" w:ascii="仿宋_GB2312" w:hAnsi="仿宋" w:eastAsia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 w:bidi="ar-SA"/>
        </w:rPr>
        <w:t>。</w:t>
      </w:r>
    </w:p>
    <w:p w14:paraId="43606D52"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default" w:ascii="仿宋" w:hAnsi="仿宋" w:eastAsia="仿宋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部门整体支出绩效目标、指标</w:t>
      </w: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 xml:space="preserve"> </w:t>
      </w:r>
    </w:p>
    <w:p w14:paraId="48377B85">
      <w:pPr>
        <w:ind w:firstLine="562" w:firstLineChars="200"/>
        <w:jc w:val="left"/>
        <w:outlineLvl w:val="3"/>
        <w:rPr>
          <w:rFonts w:ascii="Times New Roman" w:hAnsi="宋体"/>
          <w:b/>
          <w:sz w:val="28"/>
        </w:rPr>
      </w:pPr>
      <w:bookmarkStart w:id="0" w:name="_Toc69299593"/>
      <w:r>
        <w:rPr>
          <w:rFonts w:hint="eastAsia" w:ascii="方正仿宋_GBK" w:eastAsia="方正仿宋_GBK"/>
          <w:b/>
          <w:sz w:val="28"/>
          <w:lang w:val="en-US" w:eastAsia="zh-CN"/>
        </w:rPr>
        <w:t>1</w:t>
      </w:r>
      <w:r>
        <w:rPr>
          <w:rFonts w:hint="eastAsia" w:ascii="方正仿宋_GBK" w:eastAsia="方正仿宋_GBK"/>
          <w:b/>
          <w:sz w:val="28"/>
        </w:rPr>
        <w:t>、公开电话服务</w:t>
      </w:r>
      <w:r>
        <w:rPr>
          <w:rFonts w:hint="eastAsia" w:ascii="方正仿宋_GBK" w:eastAsia="方正仿宋_GBK"/>
          <w:b/>
          <w:sz w:val="28"/>
          <w:lang w:eastAsia="zh-CN"/>
        </w:rPr>
        <w:t>外包</w:t>
      </w:r>
      <w:r>
        <w:rPr>
          <w:rFonts w:hint="eastAsia" w:ascii="方正仿宋_GBK" w:eastAsia="方正仿宋_GBK"/>
          <w:b/>
          <w:sz w:val="28"/>
        </w:rPr>
        <w:t>费绩效目标表</w:t>
      </w:r>
      <w:bookmarkEnd w:id="0"/>
      <w:r>
        <w:fldChar w:fldCharType="begin"/>
      </w:r>
      <w:r>
        <w:rPr>
          <w:rFonts w:ascii="方正仿宋_GBK" w:eastAsia="方正仿宋_GBK"/>
          <w:b/>
          <w:sz w:val="28"/>
        </w:rPr>
        <w:instrText xml:space="preserve"> </w:instrText>
      </w:r>
      <w:r>
        <w:rPr>
          <w:rFonts w:hint="eastAsia" w:ascii="方正仿宋_GBK" w:eastAsia="方正仿宋_GBK"/>
          <w:b/>
          <w:sz w:val="28"/>
        </w:rPr>
        <w:instrText xml:space="preserve">TC 2、公开电话外包服务费绩效目标表 \f C \l 1</w:instrText>
      </w:r>
      <w:r>
        <w:rPr>
          <w:rFonts w:ascii="方正仿宋_GBK" w:eastAsia="方正仿宋_GBK"/>
          <w:b/>
          <w:sz w:val="28"/>
        </w:rPr>
        <w:instrText xml:space="preserve"> </w:instrText>
      </w:r>
      <w:r>
        <w:rPr>
          <w:rFonts w:ascii="方正仿宋_GBK" w:eastAsia="方正仿宋_GBK"/>
          <w:b/>
          <w:sz w:val="28"/>
        </w:rPr>
        <w:fldChar w:fldCharType="end"/>
      </w:r>
    </w:p>
    <w:tbl>
      <w:tblPr>
        <w:tblStyle w:val="4"/>
        <w:tblW w:w="9412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134"/>
        <w:gridCol w:w="1276"/>
        <w:gridCol w:w="1587"/>
        <w:gridCol w:w="1304"/>
        <w:gridCol w:w="1276"/>
        <w:gridCol w:w="1701"/>
      </w:tblGrid>
      <w:tr w14:paraId="6B5B7C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71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490D561"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434001</w:t>
            </w:r>
            <w:r>
              <w:rPr>
                <w:rFonts w:hint="eastAsia" w:ascii="方正书宋_GBK" w:eastAsia="方正书宋_GBK"/>
                <w:b/>
              </w:rPr>
              <w:t>石家庄市长安区人民政府办公室机关本级</w:t>
            </w:r>
          </w:p>
        </w:tc>
        <w:tc>
          <w:tcPr>
            <w:tcW w:w="1701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335763A"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单位：元</w:t>
            </w:r>
          </w:p>
        </w:tc>
      </w:tr>
      <w:tr w14:paraId="430871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134" w:type="dxa"/>
            <w:vAlign w:val="center"/>
          </w:tcPr>
          <w:p w14:paraId="410BF3E0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项目编码</w:t>
            </w:r>
          </w:p>
        </w:tc>
        <w:tc>
          <w:tcPr>
            <w:tcW w:w="2410" w:type="dxa"/>
            <w:gridSpan w:val="2"/>
            <w:vAlign w:val="center"/>
          </w:tcPr>
          <w:p w14:paraId="0F4FF604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587" w:type="dxa"/>
            <w:vAlign w:val="center"/>
          </w:tcPr>
          <w:p w14:paraId="2F6BD3AD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4281" w:type="dxa"/>
            <w:gridSpan w:val="3"/>
            <w:vAlign w:val="center"/>
          </w:tcPr>
          <w:p w14:paraId="75AB87E5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公开电话服务</w:t>
            </w:r>
            <w:r>
              <w:rPr>
                <w:rFonts w:hint="eastAsia" w:ascii="方正书宋_GBK" w:eastAsia="方正书宋_GBK"/>
                <w:lang w:eastAsia="zh-CN"/>
              </w:rPr>
              <w:t>外包</w:t>
            </w:r>
            <w:r>
              <w:rPr>
                <w:rFonts w:hint="eastAsia" w:ascii="方正书宋_GBK" w:eastAsia="方正书宋_GBK"/>
              </w:rPr>
              <w:t>费</w:t>
            </w:r>
          </w:p>
        </w:tc>
      </w:tr>
      <w:tr w14:paraId="40E689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134" w:type="dxa"/>
            <w:vMerge w:val="restart"/>
            <w:vAlign w:val="center"/>
          </w:tcPr>
          <w:p w14:paraId="4D819D3D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预算规模及资金用途</w:t>
            </w:r>
          </w:p>
        </w:tc>
        <w:tc>
          <w:tcPr>
            <w:tcW w:w="1134" w:type="dxa"/>
            <w:vAlign w:val="center"/>
          </w:tcPr>
          <w:p w14:paraId="46949B57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预算数</w:t>
            </w:r>
          </w:p>
        </w:tc>
        <w:tc>
          <w:tcPr>
            <w:tcW w:w="1276" w:type="dxa"/>
            <w:vAlign w:val="center"/>
          </w:tcPr>
          <w:p w14:paraId="357DF5AE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191</w:t>
            </w:r>
            <w:r>
              <w:rPr>
                <w:rFonts w:ascii="方正书宋_GBK" w:eastAsia="方正书宋_GBK"/>
              </w:rPr>
              <w:t>0000.00</w:t>
            </w:r>
          </w:p>
        </w:tc>
        <w:tc>
          <w:tcPr>
            <w:tcW w:w="1587" w:type="dxa"/>
            <w:vAlign w:val="center"/>
          </w:tcPr>
          <w:p w14:paraId="0ED524BE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其中：财政资金</w:t>
            </w:r>
          </w:p>
        </w:tc>
        <w:tc>
          <w:tcPr>
            <w:tcW w:w="1304" w:type="dxa"/>
            <w:vAlign w:val="center"/>
          </w:tcPr>
          <w:p w14:paraId="33513191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191</w:t>
            </w:r>
            <w:r>
              <w:rPr>
                <w:rFonts w:ascii="方正书宋_GBK" w:eastAsia="方正书宋_GBK"/>
              </w:rPr>
              <w:t>0000.00</w:t>
            </w:r>
          </w:p>
        </w:tc>
        <w:tc>
          <w:tcPr>
            <w:tcW w:w="1276" w:type="dxa"/>
            <w:vAlign w:val="center"/>
          </w:tcPr>
          <w:p w14:paraId="1B6B1597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其他资金</w:t>
            </w:r>
          </w:p>
        </w:tc>
        <w:tc>
          <w:tcPr>
            <w:tcW w:w="1701" w:type="dxa"/>
            <w:vAlign w:val="center"/>
          </w:tcPr>
          <w:p w14:paraId="4CB77C54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</w:t>
            </w:r>
          </w:p>
        </w:tc>
      </w:tr>
      <w:tr w14:paraId="116D99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134" w:type="dxa"/>
            <w:vMerge w:val="continue"/>
            <w:vAlign w:val="center"/>
          </w:tcPr>
          <w:p w14:paraId="0F7A2B0E">
            <w:pPr>
              <w:spacing w:line="300" w:lineRule="exact"/>
              <w:jc w:val="left"/>
              <w:outlineLvl w:val="3"/>
            </w:pPr>
          </w:p>
        </w:tc>
        <w:tc>
          <w:tcPr>
            <w:tcW w:w="8278" w:type="dxa"/>
            <w:gridSpan w:val="6"/>
            <w:vAlign w:val="center"/>
          </w:tcPr>
          <w:p w14:paraId="1C924096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公开电话</w:t>
            </w:r>
            <w:r>
              <w:rPr>
                <w:rFonts w:hint="eastAsia" w:ascii="方正书宋_GBK" w:eastAsia="方正书宋_GBK"/>
                <w:lang w:eastAsia="zh-CN"/>
              </w:rPr>
              <w:t>工作</w:t>
            </w:r>
            <w:r>
              <w:rPr>
                <w:rFonts w:hint="eastAsia" w:ascii="方正书宋_GBK" w:eastAsia="方正书宋_GBK"/>
              </w:rPr>
              <w:t>正常运转</w:t>
            </w:r>
          </w:p>
        </w:tc>
      </w:tr>
      <w:tr w14:paraId="5876CA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134" w:type="dxa"/>
            <w:vMerge w:val="restart"/>
            <w:vAlign w:val="center"/>
          </w:tcPr>
          <w:p w14:paraId="122195C5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资金支出计划（</w:t>
            </w:r>
            <w:r>
              <w:rPr>
                <w:rFonts w:ascii="方正书宋_GBK" w:eastAsia="方正书宋_GBK"/>
                <w:b/>
              </w:rPr>
              <w:t>%</w:t>
            </w:r>
            <w:r>
              <w:rPr>
                <w:rFonts w:hint="eastAsia" w:ascii="方正书宋_GBK" w:eastAsia="方正书宋_GBK"/>
                <w:b/>
              </w:rPr>
              <w:t>）</w:t>
            </w:r>
          </w:p>
        </w:tc>
        <w:tc>
          <w:tcPr>
            <w:tcW w:w="2410" w:type="dxa"/>
            <w:gridSpan w:val="2"/>
            <w:vAlign w:val="center"/>
          </w:tcPr>
          <w:p w14:paraId="16115FB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</w:t>
            </w:r>
            <w:r>
              <w:rPr>
                <w:rFonts w:hint="eastAsia" w:ascii="方正书宋_GBK" w:eastAsia="方正书宋_GBK"/>
                <w:b/>
              </w:rPr>
              <w:t>月底</w:t>
            </w:r>
          </w:p>
        </w:tc>
        <w:tc>
          <w:tcPr>
            <w:tcW w:w="1587" w:type="dxa"/>
            <w:vAlign w:val="center"/>
          </w:tcPr>
          <w:p w14:paraId="2629B41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6</w:t>
            </w:r>
            <w:r>
              <w:rPr>
                <w:rFonts w:hint="eastAsia" w:ascii="方正书宋_GBK" w:eastAsia="方正书宋_GBK"/>
                <w:b/>
              </w:rPr>
              <w:t>月底</w:t>
            </w:r>
          </w:p>
        </w:tc>
        <w:tc>
          <w:tcPr>
            <w:tcW w:w="1304" w:type="dxa"/>
            <w:vAlign w:val="center"/>
          </w:tcPr>
          <w:p w14:paraId="5A4CC24A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10</w:t>
            </w:r>
            <w:r>
              <w:rPr>
                <w:rFonts w:hint="eastAsia" w:ascii="方正书宋_GBK" w:eastAsia="方正书宋_GBK"/>
                <w:b/>
              </w:rPr>
              <w:t>月底</w:t>
            </w:r>
          </w:p>
        </w:tc>
        <w:tc>
          <w:tcPr>
            <w:tcW w:w="2977" w:type="dxa"/>
            <w:gridSpan w:val="2"/>
            <w:vAlign w:val="center"/>
          </w:tcPr>
          <w:p w14:paraId="06A272B0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12</w:t>
            </w:r>
            <w:r>
              <w:rPr>
                <w:rFonts w:hint="eastAsia" w:ascii="方正书宋_GBK" w:eastAsia="方正书宋_GBK"/>
                <w:b/>
              </w:rPr>
              <w:t>月底</w:t>
            </w:r>
          </w:p>
        </w:tc>
      </w:tr>
      <w:tr w14:paraId="4AB0C73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134" w:type="dxa"/>
            <w:vMerge w:val="continue"/>
            <w:tcBorders>
              <w:bottom w:val="single" w:color="000000" w:sz="6" w:space="0"/>
            </w:tcBorders>
            <w:vAlign w:val="center"/>
          </w:tcPr>
          <w:p w14:paraId="7341AF68">
            <w:pPr>
              <w:spacing w:line="300" w:lineRule="exact"/>
              <w:jc w:val="left"/>
              <w:outlineLvl w:val="3"/>
            </w:pPr>
          </w:p>
        </w:tc>
        <w:tc>
          <w:tcPr>
            <w:tcW w:w="2410" w:type="dxa"/>
            <w:gridSpan w:val="2"/>
            <w:tcBorders>
              <w:bottom w:val="single" w:color="000000" w:sz="6" w:space="0"/>
            </w:tcBorders>
            <w:vAlign w:val="center"/>
          </w:tcPr>
          <w:p w14:paraId="4ECDFA99"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25%</w:t>
            </w:r>
          </w:p>
        </w:tc>
        <w:tc>
          <w:tcPr>
            <w:tcW w:w="1587" w:type="dxa"/>
            <w:tcBorders>
              <w:bottom w:val="single" w:color="000000" w:sz="6" w:space="0"/>
            </w:tcBorders>
            <w:vAlign w:val="center"/>
          </w:tcPr>
          <w:p w14:paraId="2B54877F"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50%</w:t>
            </w:r>
          </w:p>
        </w:tc>
        <w:tc>
          <w:tcPr>
            <w:tcW w:w="1304" w:type="dxa"/>
            <w:tcBorders>
              <w:bottom w:val="single" w:color="000000" w:sz="6" w:space="0"/>
            </w:tcBorders>
            <w:vAlign w:val="center"/>
          </w:tcPr>
          <w:p w14:paraId="5162AA44"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75%</w:t>
            </w:r>
          </w:p>
        </w:tc>
        <w:tc>
          <w:tcPr>
            <w:tcW w:w="2977" w:type="dxa"/>
            <w:gridSpan w:val="2"/>
            <w:tcBorders>
              <w:bottom w:val="single" w:color="000000" w:sz="6" w:space="0"/>
            </w:tcBorders>
            <w:vAlign w:val="center"/>
          </w:tcPr>
          <w:p w14:paraId="77788481"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100%</w:t>
            </w:r>
          </w:p>
        </w:tc>
      </w:tr>
      <w:tr w14:paraId="12A4BC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134" w:type="dxa"/>
            <w:tcBorders>
              <w:bottom w:val="nil"/>
            </w:tcBorders>
            <w:vAlign w:val="center"/>
          </w:tcPr>
          <w:p w14:paraId="695F189E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绩效目标</w:t>
            </w:r>
          </w:p>
        </w:tc>
        <w:tc>
          <w:tcPr>
            <w:tcW w:w="8278" w:type="dxa"/>
            <w:gridSpan w:val="6"/>
            <w:tcBorders>
              <w:bottom w:val="nil"/>
            </w:tcBorders>
            <w:vAlign w:val="center"/>
          </w:tcPr>
          <w:p w14:paraId="11136743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公开电话</w:t>
            </w:r>
            <w:r>
              <w:rPr>
                <w:rFonts w:hint="eastAsia" w:ascii="方正书宋_GBK" w:eastAsia="方正书宋_GBK"/>
                <w:lang w:eastAsia="zh-CN"/>
              </w:rPr>
              <w:t>工作</w:t>
            </w:r>
            <w:r>
              <w:rPr>
                <w:rFonts w:hint="eastAsia" w:ascii="方正书宋_GBK" w:eastAsia="方正书宋_GBK"/>
              </w:rPr>
              <w:t>正常运转</w:t>
            </w:r>
          </w:p>
        </w:tc>
      </w:tr>
    </w:tbl>
    <w:p w14:paraId="01673C63">
      <w:pPr>
        <w:spacing w:line="14" w:lineRule="exact"/>
        <w:jc w:val="center"/>
        <w:rPr>
          <w:rFonts w:ascii="Times New Roman" w:hAnsi="宋体"/>
        </w:rPr>
      </w:pPr>
      <w:r>
        <w:rPr>
          <w:rFonts w:ascii="方正书宋_GBK" w:eastAsia="方正书宋_GBK"/>
        </w:rPr>
        <w:t xml:space="preserve"> </w:t>
      </w:r>
    </w:p>
    <w:tbl>
      <w:tblPr>
        <w:tblStyle w:val="4"/>
        <w:tblW w:w="9412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3BAA25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tblHeader/>
          <w:jc w:val="center"/>
        </w:trPr>
        <w:tc>
          <w:tcPr>
            <w:tcW w:w="1134" w:type="dxa"/>
            <w:vAlign w:val="center"/>
          </w:tcPr>
          <w:p w14:paraId="4D5D093E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一级指标</w:t>
            </w:r>
          </w:p>
        </w:tc>
        <w:tc>
          <w:tcPr>
            <w:tcW w:w="1134" w:type="dxa"/>
            <w:vAlign w:val="center"/>
          </w:tcPr>
          <w:p w14:paraId="1CCEF2DF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二级指标</w:t>
            </w:r>
          </w:p>
        </w:tc>
        <w:tc>
          <w:tcPr>
            <w:tcW w:w="1276" w:type="dxa"/>
            <w:vAlign w:val="center"/>
          </w:tcPr>
          <w:p w14:paraId="279CCA27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三级指标</w:t>
            </w:r>
          </w:p>
        </w:tc>
        <w:tc>
          <w:tcPr>
            <w:tcW w:w="2891" w:type="dxa"/>
            <w:vAlign w:val="center"/>
          </w:tcPr>
          <w:p w14:paraId="3F81F61C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绩效指标描述</w:t>
            </w:r>
          </w:p>
        </w:tc>
        <w:tc>
          <w:tcPr>
            <w:tcW w:w="1276" w:type="dxa"/>
            <w:vAlign w:val="center"/>
          </w:tcPr>
          <w:p w14:paraId="171FB9E3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指标值</w:t>
            </w:r>
          </w:p>
        </w:tc>
        <w:tc>
          <w:tcPr>
            <w:tcW w:w="1701" w:type="dxa"/>
            <w:vAlign w:val="center"/>
          </w:tcPr>
          <w:p w14:paraId="663389B0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指标值确定依据</w:t>
            </w:r>
          </w:p>
        </w:tc>
      </w:tr>
      <w:tr w14:paraId="300EB20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Merge w:val="restart"/>
            <w:vAlign w:val="center"/>
          </w:tcPr>
          <w:p w14:paraId="471C67D9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产出指标</w:t>
            </w:r>
          </w:p>
        </w:tc>
        <w:tc>
          <w:tcPr>
            <w:tcW w:w="1134" w:type="dxa"/>
            <w:vAlign w:val="center"/>
          </w:tcPr>
          <w:p w14:paraId="75C77B11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数量指标</w:t>
            </w:r>
          </w:p>
        </w:tc>
        <w:tc>
          <w:tcPr>
            <w:tcW w:w="1276" w:type="dxa"/>
            <w:vAlign w:val="center"/>
          </w:tcPr>
          <w:p w14:paraId="5BD97B83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市长公开电话正常运转</w:t>
            </w:r>
          </w:p>
        </w:tc>
        <w:tc>
          <w:tcPr>
            <w:tcW w:w="2891" w:type="dxa"/>
            <w:vAlign w:val="center"/>
          </w:tcPr>
          <w:p w14:paraId="07E113F8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市长公开电话正常运转</w:t>
            </w:r>
          </w:p>
        </w:tc>
        <w:tc>
          <w:tcPr>
            <w:tcW w:w="1276" w:type="dxa"/>
            <w:vAlign w:val="center"/>
          </w:tcPr>
          <w:p w14:paraId="541E59AC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市长公开电话正常运转</w:t>
            </w:r>
          </w:p>
        </w:tc>
        <w:tc>
          <w:tcPr>
            <w:tcW w:w="1701" w:type="dxa"/>
            <w:vAlign w:val="center"/>
          </w:tcPr>
          <w:p w14:paraId="1855A5BA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 w14:paraId="130F5B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Merge w:val="continue"/>
            <w:vAlign w:val="center"/>
          </w:tcPr>
          <w:p w14:paraId="06CAF31A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 w14:paraId="12A501DF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质量指标</w:t>
            </w:r>
          </w:p>
        </w:tc>
        <w:tc>
          <w:tcPr>
            <w:tcW w:w="1276" w:type="dxa"/>
            <w:vAlign w:val="center"/>
          </w:tcPr>
          <w:p w14:paraId="057968F2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市长公开电话正常运转</w:t>
            </w:r>
          </w:p>
        </w:tc>
        <w:tc>
          <w:tcPr>
            <w:tcW w:w="2891" w:type="dxa"/>
            <w:vAlign w:val="center"/>
          </w:tcPr>
          <w:p w14:paraId="53DFA05F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市长公开电话正常运转</w:t>
            </w:r>
          </w:p>
        </w:tc>
        <w:tc>
          <w:tcPr>
            <w:tcW w:w="1276" w:type="dxa"/>
            <w:vAlign w:val="center"/>
          </w:tcPr>
          <w:p w14:paraId="3F554996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市长公开电话正常运转</w:t>
            </w:r>
          </w:p>
        </w:tc>
        <w:tc>
          <w:tcPr>
            <w:tcW w:w="1701" w:type="dxa"/>
            <w:vAlign w:val="center"/>
          </w:tcPr>
          <w:p w14:paraId="650E3B66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 w14:paraId="1629386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Merge w:val="continue"/>
            <w:vAlign w:val="center"/>
          </w:tcPr>
          <w:p w14:paraId="00317FE3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 w14:paraId="40EF0917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时效指标</w:t>
            </w:r>
          </w:p>
        </w:tc>
        <w:tc>
          <w:tcPr>
            <w:tcW w:w="1276" w:type="dxa"/>
            <w:vAlign w:val="center"/>
          </w:tcPr>
          <w:p w14:paraId="656A3DE9">
            <w:pPr>
              <w:spacing w:line="300" w:lineRule="exact"/>
              <w:jc w:val="left"/>
              <w:rPr>
                <w:rFonts w:hint="eastAsia" w:ascii="方正书宋_GBK" w:eastAsia="方正书宋_GBK"/>
                <w:lang w:eastAsia="zh-CN"/>
              </w:rPr>
            </w:pPr>
            <w:r>
              <w:rPr>
                <w:rFonts w:hint="eastAsia" w:ascii="方正书宋_GBK" w:eastAsia="方正书宋_GBK"/>
                <w:lang w:eastAsia="zh-CN"/>
              </w:rPr>
              <w:t>资金支付及时性</w:t>
            </w:r>
          </w:p>
        </w:tc>
        <w:tc>
          <w:tcPr>
            <w:tcW w:w="2891" w:type="dxa"/>
            <w:vAlign w:val="center"/>
          </w:tcPr>
          <w:p w14:paraId="58ECB687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eastAsia="zh-CN"/>
              </w:rPr>
              <w:t>资金支付及时性</w:t>
            </w:r>
          </w:p>
        </w:tc>
        <w:tc>
          <w:tcPr>
            <w:tcW w:w="1276" w:type="dxa"/>
            <w:vAlign w:val="center"/>
          </w:tcPr>
          <w:p w14:paraId="2A241697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市长公开电话正常运转</w:t>
            </w:r>
          </w:p>
        </w:tc>
        <w:tc>
          <w:tcPr>
            <w:tcW w:w="1701" w:type="dxa"/>
            <w:vAlign w:val="center"/>
          </w:tcPr>
          <w:p w14:paraId="608E7690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 w14:paraId="129E4A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Merge w:val="continue"/>
            <w:vAlign w:val="center"/>
          </w:tcPr>
          <w:p w14:paraId="2ED986FD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 w14:paraId="436646D1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成本指标</w:t>
            </w:r>
          </w:p>
        </w:tc>
        <w:tc>
          <w:tcPr>
            <w:tcW w:w="1276" w:type="dxa"/>
            <w:vAlign w:val="center"/>
          </w:tcPr>
          <w:p w14:paraId="309A6E03">
            <w:pPr>
              <w:spacing w:line="300" w:lineRule="exact"/>
              <w:jc w:val="left"/>
              <w:rPr>
                <w:rFonts w:hint="eastAsia" w:ascii="方正书宋_GBK" w:eastAsia="方正书宋_GBK"/>
                <w:lang w:eastAsia="zh-CN"/>
              </w:rPr>
            </w:pPr>
            <w:r>
              <w:rPr>
                <w:rFonts w:hint="eastAsia" w:ascii="方正书宋_GBK" w:eastAsia="方正书宋_GBK"/>
                <w:lang w:eastAsia="zh-CN"/>
              </w:rPr>
              <w:t>低成本高效率完成</w:t>
            </w:r>
          </w:p>
        </w:tc>
        <w:tc>
          <w:tcPr>
            <w:tcW w:w="2891" w:type="dxa"/>
            <w:vAlign w:val="center"/>
          </w:tcPr>
          <w:p w14:paraId="4D7CE10D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eastAsia="zh-CN"/>
              </w:rPr>
              <w:t>低成本高效率完成</w:t>
            </w:r>
          </w:p>
        </w:tc>
        <w:tc>
          <w:tcPr>
            <w:tcW w:w="1276" w:type="dxa"/>
            <w:vAlign w:val="center"/>
          </w:tcPr>
          <w:p w14:paraId="10D5A098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市长公开电话正常运转</w:t>
            </w:r>
          </w:p>
        </w:tc>
        <w:tc>
          <w:tcPr>
            <w:tcW w:w="1701" w:type="dxa"/>
            <w:vAlign w:val="center"/>
          </w:tcPr>
          <w:p w14:paraId="110CFD67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 w14:paraId="62EBFD8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Merge w:val="restart"/>
            <w:vAlign w:val="center"/>
          </w:tcPr>
          <w:p w14:paraId="1DE8C8D0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效益指标</w:t>
            </w:r>
          </w:p>
        </w:tc>
        <w:tc>
          <w:tcPr>
            <w:tcW w:w="1134" w:type="dxa"/>
            <w:vAlign w:val="center"/>
          </w:tcPr>
          <w:p w14:paraId="754CED35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经济效益指标</w:t>
            </w:r>
          </w:p>
        </w:tc>
        <w:tc>
          <w:tcPr>
            <w:tcW w:w="1276" w:type="dxa"/>
            <w:vAlign w:val="center"/>
          </w:tcPr>
          <w:p w14:paraId="714A02A8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市长公开电话正常运转</w:t>
            </w:r>
          </w:p>
        </w:tc>
        <w:tc>
          <w:tcPr>
            <w:tcW w:w="2891" w:type="dxa"/>
            <w:vAlign w:val="center"/>
          </w:tcPr>
          <w:p w14:paraId="4D4ADF8E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市长公开电话正常运转</w:t>
            </w:r>
          </w:p>
        </w:tc>
        <w:tc>
          <w:tcPr>
            <w:tcW w:w="1276" w:type="dxa"/>
            <w:vAlign w:val="center"/>
          </w:tcPr>
          <w:p w14:paraId="02465D15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市长公开电话正常运转</w:t>
            </w:r>
          </w:p>
        </w:tc>
        <w:tc>
          <w:tcPr>
            <w:tcW w:w="1701" w:type="dxa"/>
            <w:vAlign w:val="center"/>
          </w:tcPr>
          <w:p w14:paraId="4157E28A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 w14:paraId="7689845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Merge w:val="continue"/>
            <w:vAlign w:val="center"/>
          </w:tcPr>
          <w:p w14:paraId="0353622C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 w14:paraId="2C3F17B2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社会效益指标</w:t>
            </w:r>
          </w:p>
        </w:tc>
        <w:tc>
          <w:tcPr>
            <w:tcW w:w="1276" w:type="dxa"/>
            <w:vAlign w:val="center"/>
          </w:tcPr>
          <w:p w14:paraId="06C046C9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市长公开电话正常运转</w:t>
            </w:r>
          </w:p>
        </w:tc>
        <w:tc>
          <w:tcPr>
            <w:tcW w:w="2891" w:type="dxa"/>
            <w:vAlign w:val="center"/>
          </w:tcPr>
          <w:p w14:paraId="54118A3B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市长公开电话正常运转</w:t>
            </w:r>
          </w:p>
        </w:tc>
        <w:tc>
          <w:tcPr>
            <w:tcW w:w="1276" w:type="dxa"/>
            <w:vAlign w:val="center"/>
          </w:tcPr>
          <w:p w14:paraId="449969F4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市长公开电话正常运转</w:t>
            </w:r>
          </w:p>
        </w:tc>
        <w:tc>
          <w:tcPr>
            <w:tcW w:w="1701" w:type="dxa"/>
            <w:vAlign w:val="center"/>
          </w:tcPr>
          <w:p w14:paraId="3AEC252A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 w14:paraId="0936C6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Align w:val="center"/>
          </w:tcPr>
          <w:p w14:paraId="26DECCD2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满意度指标</w:t>
            </w:r>
          </w:p>
        </w:tc>
        <w:tc>
          <w:tcPr>
            <w:tcW w:w="1134" w:type="dxa"/>
            <w:vAlign w:val="center"/>
          </w:tcPr>
          <w:p w14:paraId="182EC910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服务对象满意度指标</w:t>
            </w:r>
          </w:p>
        </w:tc>
        <w:tc>
          <w:tcPr>
            <w:tcW w:w="1276" w:type="dxa"/>
            <w:vAlign w:val="center"/>
          </w:tcPr>
          <w:p w14:paraId="66EE56EA">
            <w:pPr>
              <w:spacing w:line="300" w:lineRule="exact"/>
              <w:jc w:val="left"/>
              <w:rPr>
                <w:rFonts w:hint="eastAsia" w:ascii="方正书宋_GBK" w:eastAsia="方正书宋_GBK"/>
                <w:lang w:eastAsia="zh-CN"/>
              </w:rPr>
            </w:pPr>
            <w:r>
              <w:rPr>
                <w:rFonts w:hint="eastAsia" w:ascii="方正书宋_GBK" w:eastAsia="方正书宋_GBK"/>
                <w:lang w:eastAsia="zh-CN"/>
              </w:rPr>
              <w:t>服务对象满意率</w:t>
            </w:r>
          </w:p>
        </w:tc>
        <w:tc>
          <w:tcPr>
            <w:tcW w:w="2891" w:type="dxa"/>
            <w:vAlign w:val="center"/>
          </w:tcPr>
          <w:p w14:paraId="14A191C7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eastAsia="zh-CN"/>
              </w:rPr>
              <w:t>服务对象满意率</w:t>
            </w:r>
          </w:p>
        </w:tc>
        <w:tc>
          <w:tcPr>
            <w:tcW w:w="1276" w:type="dxa"/>
            <w:vAlign w:val="center"/>
          </w:tcPr>
          <w:p w14:paraId="5B494088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市长公开电话正常运转</w:t>
            </w:r>
          </w:p>
        </w:tc>
        <w:tc>
          <w:tcPr>
            <w:tcW w:w="1701" w:type="dxa"/>
            <w:vAlign w:val="center"/>
          </w:tcPr>
          <w:p w14:paraId="4747A15D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</w:tbl>
    <w:p w14:paraId="0A4BE248">
      <w:pPr>
        <w:spacing w:line="300" w:lineRule="exact"/>
        <w:jc w:val="left"/>
      </w:pPr>
    </w:p>
    <w:p w14:paraId="218BA173">
      <w:pPr>
        <w:ind w:firstLine="562" w:firstLineChars="200"/>
        <w:jc w:val="left"/>
        <w:outlineLvl w:val="3"/>
        <w:rPr>
          <w:rFonts w:ascii="Times New Roman" w:hAnsi="宋体"/>
          <w:b/>
          <w:sz w:val="28"/>
        </w:rPr>
      </w:pPr>
      <w:bookmarkStart w:id="1" w:name="_Toc69299596"/>
      <w:r>
        <w:rPr>
          <w:rFonts w:hint="eastAsia" w:ascii="方正仿宋_GBK" w:eastAsia="方正仿宋_GBK"/>
          <w:b/>
          <w:sz w:val="28"/>
          <w:lang w:val="en-US" w:eastAsia="zh-CN"/>
        </w:rPr>
        <w:t>2</w:t>
      </w:r>
      <w:r>
        <w:rPr>
          <w:rFonts w:hint="eastAsia" w:ascii="方正仿宋_GBK" w:eastAsia="方正仿宋_GBK"/>
          <w:b/>
          <w:sz w:val="28"/>
        </w:rPr>
        <w:t>、全区网络</w:t>
      </w:r>
      <w:r>
        <w:rPr>
          <w:rFonts w:hint="eastAsia" w:ascii="方正仿宋_GBK" w:eastAsia="方正仿宋_GBK"/>
          <w:b/>
          <w:sz w:val="28"/>
          <w:lang w:eastAsia="zh-CN"/>
        </w:rPr>
        <w:t>运行维护</w:t>
      </w:r>
      <w:r>
        <w:rPr>
          <w:rFonts w:hint="eastAsia" w:ascii="方正仿宋_GBK" w:eastAsia="方正仿宋_GBK"/>
          <w:b/>
          <w:sz w:val="28"/>
        </w:rPr>
        <w:t>经费</w:t>
      </w:r>
      <w:r>
        <w:rPr>
          <w:rFonts w:hint="eastAsia" w:ascii="方正仿宋_GBK" w:eastAsia="方正仿宋_GBK"/>
          <w:b/>
          <w:sz w:val="28"/>
          <w:lang w:eastAsia="zh-CN"/>
        </w:rPr>
        <w:t>和大气办办公经费</w:t>
      </w:r>
      <w:r>
        <w:rPr>
          <w:rFonts w:hint="eastAsia" w:ascii="方正仿宋_GBK" w:eastAsia="方正仿宋_GBK"/>
          <w:b/>
          <w:sz w:val="28"/>
        </w:rPr>
        <w:t>绩效目标表</w:t>
      </w:r>
      <w:bookmarkEnd w:id="1"/>
      <w:r>
        <w:fldChar w:fldCharType="begin"/>
      </w:r>
      <w:r>
        <w:rPr>
          <w:rFonts w:ascii="方正仿宋_GBK" w:eastAsia="方正仿宋_GBK"/>
          <w:b/>
          <w:sz w:val="28"/>
        </w:rPr>
        <w:instrText xml:space="preserve"> </w:instrText>
      </w:r>
      <w:r>
        <w:rPr>
          <w:rFonts w:hint="eastAsia" w:ascii="方正仿宋_GBK" w:eastAsia="方正仿宋_GBK"/>
          <w:b/>
          <w:sz w:val="28"/>
        </w:rPr>
        <w:instrText xml:space="preserve">TC 5、全区网络管理经费绩效目标表 \f C \l 1</w:instrText>
      </w:r>
      <w:r>
        <w:rPr>
          <w:rFonts w:ascii="方正仿宋_GBK" w:eastAsia="方正仿宋_GBK"/>
          <w:b/>
          <w:sz w:val="28"/>
        </w:rPr>
        <w:instrText xml:space="preserve"> </w:instrText>
      </w:r>
      <w:r>
        <w:rPr>
          <w:rFonts w:ascii="方正仿宋_GBK" w:eastAsia="方正仿宋_GBK"/>
          <w:b/>
          <w:sz w:val="28"/>
        </w:rPr>
        <w:fldChar w:fldCharType="end"/>
      </w:r>
    </w:p>
    <w:tbl>
      <w:tblPr>
        <w:tblStyle w:val="4"/>
        <w:tblW w:w="9412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134"/>
        <w:gridCol w:w="1276"/>
        <w:gridCol w:w="1587"/>
        <w:gridCol w:w="1304"/>
        <w:gridCol w:w="1276"/>
        <w:gridCol w:w="1701"/>
      </w:tblGrid>
      <w:tr w14:paraId="4FB49B7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71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183E3F0"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434001</w:t>
            </w:r>
            <w:r>
              <w:rPr>
                <w:rFonts w:hint="eastAsia" w:ascii="方正书宋_GBK" w:eastAsia="方正书宋_GBK"/>
                <w:b/>
              </w:rPr>
              <w:t>石家庄市长安区人民政府办公室机关本级</w:t>
            </w:r>
          </w:p>
        </w:tc>
        <w:tc>
          <w:tcPr>
            <w:tcW w:w="1701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45D681A"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单位：元</w:t>
            </w:r>
          </w:p>
        </w:tc>
      </w:tr>
      <w:tr w14:paraId="782513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1134" w:type="dxa"/>
            <w:vAlign w:val="center"/>
          </w:tcPr>
          <w:p w14:paraId="6C1A65BF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项目编码</w:t>
            </w:r>
          </w:p>
        </w:tc>
        <w:tc>
          <w:tcPr>
            <w:tcW w:w="2410" w:type="dxa"/>
            <w:gridSpan w:val="2"/>
            <w:vAlign w:val="center"/>
          </w:tcPr>
          <w:p w14:paraId="4AF66B96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587" w:type="dxa"/>
            <w:vAlign w:val="center"/>
          </w:tcPr>
          <w:p w14:paraId="28C2E927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4281" w:type="dxa"/>
            <w:gridSpan w:val="3"/>
            <w:vAlign w:val="center"/>
          </w:tcPr>
          <w:p w14:paraId="25B2CDBF">
            <w:pPr>
              <w:spacing w:line="300" w:lineRule="exact"/>
              <w:jc w:val="left"/>
              <w:rPr>
                <w:rFonts w:hint="eastAsia" w:ascii="方正书宋_GBK" w:eastAsia="方正书宋_GBK"/>
                <w:lang w:eastAsia="zh-CN"/>
              </w:rPr>
            </w:pPr>
            <w:r>
              <w:rPr>
                <w:rFonts w:hint="eastAsia" w:ascii="方正书宋_GBK" w:eastAsia="方正书宋_GBK"/>
              </w:rPr>
              <w:t>全区网络</w:t>
            </w:r>
            <w:r>
              <w:rPr>
                <w:rFonts w:hint="eastAsia" w:ascii="方正书宋_GBK" w:eastAsia="方正书宋_GBK"/>
                <w:lang w:eastAsia="zh-CN"/>
              </w:rPr>
              <w:t>运行维护</w:t>
            </w:r>
            <w:r>
              <w:rPr>
                <w:rFonts w:hint="eastAsia" w:ascii="方正书宋_GBK" w:eastAsia="方正书宋_GBK"/>
              </w:rPr>
              <w:t>经费</w:t>
            </w:r>
            <w:r>
              <w:rPr>
                <w:rFonts w:hint="eastAsia" w:ascii="方正书宋_GBK" w:eastAsia="方正书宋_GBK"/>
                <w:lang w:eastAsia="zh-CN"/>
              </w:rPr>
              <w:t>和大气办办公经费</w:t>
            </w:r>
          </w:p>
        </w:tc>
      </w:tr>
      <w:tr w14:paraId="47DD1A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134" w:type="dxa"/>
            <w:vMerge w:val="restart"/>
            <w:vAlign w:val="center"/>
          </w:tcPr>
          <w:p w14:paraId="0B7A30B5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预算规模及资金用途</w:t>
            </w:r>
          </w:p>
        </w:tc>
        <w:tc>
          <w:tcPr>
            <w:tcW w:w="1134" w:type="dxa"/>
            <w:vAlign w:val="center"/>
          </w:tcPr>
          <w:p w14:paraId="6CCD75F9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预算数</w:t>
            </w:r>
          </w:p>
        </w:tc>
        <w:tc>
          <w:tcPr>
            <w:tcW w:w="1276" w:type="dxa"/>
            <w:vAlign w:val="center"/>
          </w:tcPr>
          <w:p w14:paraId="1A65BC85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162</w:t>
            </w:r>
            <w:r>
              <w:rPr>
                <w:rFonts w:ascii="方正书宋_GBK" w:eastAsia="方正书宋_GBK"/>
              </w:rPr>
              <w:t>0000.00</w:t>
            </w:r>
          </w:p>
        </w:tc>
        <w:tc>
          <w:tcPr>
            <w:tcW w:w="1587" w:type="dxa"/>
            <w:vAlign w:val="center"/>
          </w:tcPr>
          <w:p w14:paraId="27689FE8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其中：财政资金</w:t>
            </w:r>
          </w:p>
        </w:tc>
        <w:tc>
          <w:tcPr>
            <w:tcW w:w="1304" w:type="dxa"/>
            <w:vAlign w:val="center"/>
          </w:tcPr>
          <w:p w14:paraId="3260731B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162</w:t>
            </w:r>
            <w:r>
              <w:rPr>
                <w:rFonts w:ascii="方正书宋_GBK" w:eastAsia="方正书宋_GBK"/>
              </w:rPr>
              <w:t>0000.00</w:t>
            </w:r>
          </w:p>
        </w:tc>
        <w:tc>
          <w:tcPr>
            <w:tcW w:w="1276" w:type="dxa"/>
            <w:vAlign w:val="center"/>
          </w:tcPr>
          <w:p w14:paraId="2FC565A5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其他资金</w:t>
            </w:r>
          </w:p>
        </w:tc>
        <w:tc>
          <w:tcPr>
            <w:tcW w:w="1701" w:type="dxa"/>
            <w:vAlign w:val="center"/>
          </w:tcPr>
          <w:p w14:paraId="4B711531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</w:t>
            </w:r>
          </w:p>
        </w:tc>
      </w:tr>
      <w:tr w14:paraId="7820EF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134" w:type="dxa"/>
            <w:vMerge w:val="continue"/>
            <w:vAlign w:val="center"/>
          </w:tcPr>
          <w:p w14:paraId="27B58A90">
            <w:pPr>
              <w:spacing w:line="300" w:lineRule="exact"/>
              <w:jc w:val="left"/>
              <w:outlineLvl w:val="3"/>
            </w:pPr>
          </w:p>
        </w:tc>
        <w:tc>
          <w:tcPr>
            <w:tcW w:w="8278" w:type="dxa"/>
            <w:gridSpan w:val="6"/>
            <w:vAlign w:val="center"/>
          </w:tcPr>
          <w:p w14:paraId="21622490">
            <w:pPr>
              <w:spacing w:line="300" w:lineRule="exact"/>
              <w:jc w:val="left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</w:rPr>
              <w:t>全区网络正常</w:t>
            </w:r>
            <w:r>
              <w:rPr>
                <w:rFonts w:hint="eastAsia" w:ascii="方正书宋_GBK" w:eastAsia="方正书宋_GBK"/>
                <w:lang w:eastAsia="zh-CN"/>
              </w:rPr>
              <w:t>运行，保证大气办正常办公。</w:t>
            </w:r>
          </w:p>
        </w:tc>
      </w:tr>
      <w:tr w14:paraId="69506E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134" w:type="dxa"/>
            <w:vMerge w:val="restart"/>
            <w:vAlign w:val="center"/>
          </w:tcPr>
          <w:p w14:paraId="434D3577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资金支出计划（</w:t>
            </w:r>
            <w:r>
              <w:rPr>
                <w:rFonts w:ascii="方正书宋_GBK" w:eastAsia="方正书宋_GBK"/>
                <w:b/>
              </w:rPr>
              <w:t>%</w:t>
            </w:r>
            <w:r>
              <w:rPr>
                <w:rFonts w:hint="eastAsia" w:ascii="方正书宋_GBK" w:eastAsia="方正书宋_GBK"/>
                <w:b/>
              </w:rPr>
              <w:t>）</w:t>
            </w:r>
          </w:p>
        </w:tc>
        <w:tc>
          <w:tcPr>
            <w:tcW w:w="2410" w:type="dxa"/>
            <w:gridSpan w:val="2"/>
            <w:vAlign w:val="center"/>
          </w:tcPr>
          <w:p w14:paraId="3A6F5B20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</w:t>
            </w:r>
            <w:r>
              <w:rPr>
                <w:rFonts w:hint="eastAsia" w:ascii="方正书宋_GBK" w:eastAsia="方正书宋_GBK"/>
                <w:b/>
              </w:rPr>
              <w:t>月底</w:t>
            </w:r>
          </w:p>
        </w:tc>
        <w:tc>
          <w:tcPr>
            <w:tcW w:w="1587" w:type="dxa"/>
            <w:vAlign w:val="center"/>
          </w:tcPr>
          <w:p w14:paraId="3384518C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6</w:t>
            </w:r>
            <w:r>
              <w:rPr>
                <w:rFonts w:hint="eastAsia" w:ascii="方正书宋_GBK" w:eastAsia="方正书宋_GBK"/>
                <w:b/>
              </w:rPr>
              <w:t>月底</w:t>
            </w:r>
          </w:p>
        </w:tc>
        <w:tc>
          <w:tcPr>
            <w:tcW w:w="1304" w:type="dxa"/>
            <w:vAlign w:val="center"/>
          </w:tcPr>
          <w:p w14:paraId="46818479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10</w:t>
            </w:r>
            <w:r>
              <w:rPr>
                <w:rFonts w:hint="eastAsia" w:ascii="方正书宋_GBK" w:eastAsia="方正书宋_GBK"/>
                <w:b/>
              </w:rPr>
              <w:t>月底</w:t>
            </w:r>
          </w:p>
        </w:tc>
        <w:tc>
          <w:tcPr>
            <w:tcW w:w="2977" w:type="dxa"/>
            <w:gridSpan w:val="2"/>
            <w:vAlign w:val="center"/>
          </w:tcPr>
          <w:p w14:paraId="3A43CD7C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12</w:t>
            </w:r>
            <w:r>
              <w:rPr>
                <w:rFonts w:hint="eastAsia" w:ascii="方正书宋_GBK" w:eastAsia="方正书宋_GBK"/>
                <w:b/>
              </w:rPr>
              <w:t>月底</w:t>
            </w:r>
          </w:p>
        </w:tc>
      </w:tr>
      <w:tr w14:paraId="3046E9F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134" w:type="dxa"/>
            <w:vMerge w:val="continue"/>
            <w:tcBorders>
              <w:bottom w:val="single" w:color="000000" w:sz="6" w:space="0"/>
            </w:tcBorders>
            <w:vAlign w:val="center"/>
          </w:tcPr>
          <w:p w14:paraId="69A7D83F">
            <w:pPr>
              <w:spacing w:line="300" w:lineRule="exact"/>
              <w:jc w:val="left"/>
              <w:outlineLvl w:val="3"/>
            </w:pPr>
          </w:p>
        </w:tc>
        <w:tc>
          <w:tcPr>
            <w:tcW w:w="2410" w:type="dxa"/>
            <w:gridSpan w:val="2"/>
            <w:tcBorders>
              <w:bottom w:val="single" w:color="000000" w:sz="6" w:space="0"/>
            </w:tcBorders>
            <w:vAlign w:val="center"/>
          </w:tcPr>
          <w:p w14:paraId="6E2CBC68"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25%</w:t>
            </w:r>
          </w:p>
        </w:tc>
        <w:tc>
          <w:tcPr>
            <w:tcW w:w="1587" w:type="dxa"/>
            <w:tcBorders>
              <w:bottom w:val="single" w:color="000000" w:sz="6" w:space="0"/>
            </w:tcBorders>
            <w:vAlign w:val="center"/>
          </w:tcPr>
          <w:p w14:paraId="7E77C0B0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50%</w:t>
            </w:r>
          </w:p>
        </w:tc>
        <w:tc>
          <w:tcPr>
            <w:tcW w:w="1304" w:type="dxa"/>
            <w:tcBorders>
              <w:bottom w:val="single" w:color="000000" w:sz="6" w:space="0"/>
            </w:tcBorders>
            <w:vAlign w:val="center"/>
          </w:tcPr>
          <w:p w14:paraId="67E1E6E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75%</w:t>
            </w:r>
          </w:p>
        </w:tc>
        <w:tc>
          <w:tcPr>
            <w:tcW w:w="2977" w:type="dxa"/>
            <w:gridSpan w:val="2"/>
            <w:tcBorders>
              <w:bottom w:val="single" w:color="000000" w:sz="6" w:space="0"/>
            </w:tcBorders>
            <w:vAlign w:val="center"/>
          </w:tcPr>
          <w:p w14:paraId="304E1473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100%</w:t>
            </w:r>
          </w:p>
        </w:tc>
      </w:tr>
      <w:tr w14:paraId="260670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134" w:type="dxa"/>
            <w:tcBorders>
              <w:bottom w:val="nil"/>
            </w:tcBorders>
            <w:vAlign w:val="center"/>
          </w:tcPr>
          <w:p w14:paraId="79FAC232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绩效目标</w:t>
            </w:r>
          </w:p>
        </w:tc>
        <w:tc>
          <w:tcPr>
            <w:tcW w:w="8278" w:type="dxa"/>
            <w:gridSpan w:val="6"/>
            <w:tcBorders>
              <w:bottom w:val="nil"/>
            </w:tcBorders>
            <w:vAlign w:val="center"/>
          </w:tcPr>
          <w:p w14:paraId="76029407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</w:t>
            </w:r>
            <w:r>
              <w:rPr>
                <w:rFonts w:hint="eastAsia" w:ascii="方正书宋_GBK" w:eastAsia="方正书宋_GBK"/>
              </w:rPr>
              <w:t>全区网络安全运行</w:t>
            </w:r>
          </w:p>
          <w:p w14:paraId="6A7A2E78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</w:t>
            </w:r>
            <w:r>
              <w:rPr>
                <w:rFonts w:hint="eastAsia" w:ascii="方正书宋_GBK" w:eastAsia="方正书宋_GBK"/>
                <w:lang w:eastAsia="zh-CN"/>
              </w:rPr>
              <w:t>大气办正常办公</w:t>
            </w:r>
          </w:p>
          <w:p w14:paraId="5A55E77F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</w:tbl>
    <w:p w14:paraId="1AEDB7E6">
      <w:pPr>
        <w:spacing w:line="14" w:lineRule="exact"/>
        <w:jc w:val="center"/>
        <w:rPr>
          <w:rFonts w:ascii="Times New Roman" w:hAnsi="宋体"/>
        </w:rPr>
      </w:pPr>
      <w:r>
        <w:rPr>
          <w:rFonts w:ascii="方正书宋_GBK" w:eastAsia="方正书宋_GBK"/>
        </w:rPr>
        <w:t xml:space="preserve"> </w:t>
      </w:r>
    </w:p>
    <w:tbl>
      <w:tblPr>
        <w:tblStyle w:val="4"/>
        <w:tblW w:w="9412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134"/>
        <w:gridCol w:w="1276"/>
        <w:gridCol w:w="2891"/>
        <w:gridCol w:w="1276"/>
        <w:gridCol w:w="1701"/>
      </w:tblGrid>
      <w:tr w14:paraId="0EF519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tblHeader/>
          <w:jc w:val="center"/>
        </w:trPr>
        <w:tc>
          <w:tcPr>
            <w:tcW w:w="1134" w:type="dxa"/>
            <w:vAlign w:val="center"/>
          </w:tcPr>
          <w:p w14:paraId="5C586097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一级指标</w:t>
            </w:r>
          </w:p>
        </w:tc>
        <w:tc>
          <w:tcPr>
            <w:tcW w:w="1134" w:type="dxa"/>
            <w:vAlign w:val="center"/>
          </w:tcPr>
          <w:p w14:paraId="2CB63DD9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二级指标</w:t>
            </w:r>
          </w:p>
        </w:tc>
        <w:tc>
          <w:tcPr>
            <w:tcW w:w="1276" w:type="dxa"/>
            <w:vAlign w:val="center"/>
          </w:tcPr>
          <w:p w14:paraId="2FB5F4FB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三级指标</w:t>
            </w:r>
          </w:p>
        </w:tc>
        <w:tc>
          <w:tcPr>
            <w:tcW w:w="2891" w:type="dxa"/>
            <w:vAlign w:val="center"/>
          </w:tcPr>
          <w:p w14:paraId="1DF3D508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绩效指标描述</w:t>
            </w:r>
          </w:p>
        </w:tc>
        <w:tc>
          <w:tcPr>
            <w:tcW w:w="1276" w:type="dxa"/>
            <w:vAlign w:val="center"/>
          </w:tcPr>
          <w:p w14:paraId="68C91FEA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指标值</w:t>
            </w:r>
          </w:p>
        </w:tc>
        <w:tc>
          <w:tcPr>
            <w:tcW w:w="1701" w:type="dxa"/>
            <w:vAlign w:val="center"/>
          </w:tcPr>
          <w:p w14:paraId="7B462B63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指标值确定依据</w:t>
            </w:r>
          </w:p>
        </w:tc>
      </w:tr>
      <w:tr w14:paraId="18AF17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Merge w:val="restart"/>
            <w:vAlign w:val="center"/>
          </w:tcPr>
          <w:p w14:paraId="57012A05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产出指标</w:t>
            </w:r>
          </w:p>
        </w:tc>
        <w:tc>
          <w:tcPr>
            <w:tcW w:w="1134" w:type="dxa"/>
            <w:vAlign w:val="center"/>
          </w:tcPr>
          <w:p w14:paraId="2996A0EB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数量指标</w:t>
            </w:r>
          </w:p>
        </w:tc>
        <w:tc>
          <w:tcPr>
            <w:tcW w:w="1276" w:type="dxa"/>
            <w:vAlign w:val="center"/>
          </w:tcPr>
          <w:p w14:paraId="13051255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全区网络安全运行</w:t>
            </w:r>
          </w:p>
        </w:tc>
        <w:tc>
          <w:tcPr>
            <w:tcW w:w="2891" w:type="dxa"/>
            <w:vAlign w:val="center"/>
          </w:tcPr>
          <w:p w14:paraId="146A032A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全区网络安全运行</w:t>
            </w:r>
          </w:p>
        </w:tc>
        <w:tc>
          <w:tcPr>
            <w:tcW w:w="1276" w:type="dxa"/>
            <w:vAlign w:val="center"/>
          </w:tcPr>
          <w:p w14:paraId="71BD59B8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全区网络安全运行</w:t>
            </w:r>
          </w:p>
        </w:tc>
        <w:tc>
          <w:tcPr>
            <w:tcW w:w="1701" w:type="dxa"/>
            <w:vAlign w:val="center"/>
          </w:tcPr>
          <w:p w14:paraId="20030EFD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 w14:paraId="51D5D2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Merge w:val="continue"/>
            <w:vAlign w:val="center"/>
          </w:tcPr>
          <w:p w14:paraId="7CCD4F4B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 w14:paraId="11E7359C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质量指标</w:t>
            </w:r>
          </w:p>
        </w:tc>
        <w:tc>
          <w:tcPr>
            <w:tcW w:w="1276" w:type="dxa"/>
            <w:vAlign w:val="center"/>
          </w:tcPr>
          <w:p w14:paraId="370BA5C8">
            <w:pPr>
              <w:spacing w:line="300" w:lineRule="exact"/>
              <w:jc w:val="left"/>
              <w:rPr>
                <w:rFonts w:hint="eastAsia" w:ascii="方正书宋_GBK" w:eastAsia="方正书宋_GBK"/>
                <w:lang w:eastAsia="zh-CN"/>
              </w:rPr>
            </w:pPr>
            <w:r>
              <w:rPr>
                <w:rFonts w:hint="eastAsia" w:ascii="方正书宋_GBK" w:eastAsia="方正书宋_GBK"/>
                <w:lang w:eastAsia="zh-CN"/>
              </w:rPr>
              <w:t>大气办正常办公</w:t>
            </w:r>
          </w:p>
        </w:tc>
        <w:tc>
          <w:tcPr>
            <w:tcW w:w="2891" w:type="dxa"/>
            <w:vAlign w:val="center"/>
          </w:tcPr>
          <w:p w14:paraId="0C60E591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eastAsia="zh-CN"/>
              </w:rPr>
              <w:t>大气办正常办公</w:t>
            </w:r>
          </w:p>
        </w:tc>
        <w:tc>
          <w:tcPr>
            <w:tcW w:w="1276" w:type="dxa"/>
            <w:vAlign w:val="center"/>
          </w:tcPr>
          <w:p w14:paraId="174CEF88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全区网络安全运行</w:t>
            </w:r>
          </w:p>
        </w:tc>
        <w:tc>
          <w:tcPr>
            <w:tcW w:w="1701" w:type="dxa"/>
            <w:vAlign w:val="center"/>
          </w:tcPr>
          <w:p w14:paraId="6F84257A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</w:tr>
      <w:tr w14:paraId="5581BA9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Merge w:val="continue"/>
            <w:vAlign w:val="center"/>
          </w:tcPr>
          <w:p w14:paraId="24474557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 w14:paraId="02C00409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时效指标</w:t>
            </w:r>
          </w:p>
        </w:tc>
        <w:tc>
          <w:tcPr>
            <w:tcW w:w="1276" w:type="dxa"/>
            <w:vAlign w:val="center"/>
          </w:tcPr>
          <w:p w14:paraId="507D0049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支付及时率</w:t>
            </w:r>
          </w:p>
        </w:tc>
        <w:tc>
          <w:tcPr>
            <w:tcW w:w="2891" w:type="dxa"/>
            <w:vAlign w:val="center"/>
          </w:tcPr>
          <w:p w14:paraId="1C0F1D71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支付及时</w:t>
            </w:r>
          </w:p>
        </w:tc>
        <w:tc>
          <w:tcPr>
            <w:tcW w:w="1276" w:type="dxa"/>
            <w:vAlign w:val="center"/>
          </w:tcPr>
          <w:p w14:paraId="63882155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全区网络安全运行</w:t>
            </w:r>
          </w:p>
        </w:tc>
        <w:tc>
          <w:tcPr>
            <w:tcW w:w="1701" w:type="dxa"/>
            <w:vAlign w:val="center"/>
          </w:tcPr>
          <w:p w14:paraId="42BC9C99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</w:tr>
      <w:tr w14:paraId="3300ED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Merge w:val="continue"/>
            <w:vAlign w:val="center"/>
          </w:tcPr>
          <w:p w14:paraId="32A5E6BD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 w14:paraId="272200F4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成本指标</w:t>
            </w:r>
          </w:p>
        </w:tc>
        <w:tc>
          <w:tcPr>
            <w:tcW w:w="1276" w:type="dxa"/>
            <w:vAlign w:val="center"/>
          </w:tcPr>
          <w:p w14:paraId="7C45A55E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项目运行成本</w:t>
            </w:r>
          </w:p>
        </w:tc>
        <w:tc>
          <w:tcPr>
            <w:tcW w:w="2891" w:type="dxa"/>
            <w:vAlign w:val="center"/>
          </w:tcPr>
          <w:p w14:paraId="0F3AC975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项目运行成本</w:t>
            </w:r>
          </w:p>
        </w:tc>
        <w:tc>
          <w:tcPr>
            <w:tcW w:w="1276" w:type="dxa"/>
            <w:vAlign w:val="center"/>
          </w:tcPr>
          <w:p w14:paraId="67D7CDA5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全区网络安全运行</w:t>
            </w:r>
          </w:p>
        </w:tc>
        <w:tc>
          <w:tcPr>
            <w:tcW w:w="1701" w:type="dxa"/>
            <w:vAlign w:val="center"/>
          </w:tcPr>
          <w:p w14:paraId="171DDFD4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</w:tr>
      <w:tr w14:paraId="290D7CD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Merge w:val="restart"/>
            <w:vAlign w:val="center"/>
          </w:tcPr>
          <w:p w14:paraId="591890AD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效益指标</w:t>
            </w:r>
          </w:p>
        </w:tc>
        <w:tc>
          <w:tcPr>
            <w:tcW w:w="1134" w:type="dxa"/>
            <w:vAlign w:val="center"/>
          </w:tcPr>
          <w:p w14:paraId="01F1F7A5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经济效益指标</w:t>
            </w:r>
          </w:p>
        </w:tc>
        <w:tc>
          <w:tcPr>
            <w:tcW w:w="1276" w:type="dxa"/>
            <w:vAlign w:val="center"/>
          </w:tcPr>
          <w:p w14:paraId="2E4FAE25">
            <w:pPr>
              <w:spacing w:line="300" w:lineRule="exact"/>
              <w:jc w:val="left"/>
              <w:rPr>
                <w:rFonts w:hint="eastAsia" w:ascii="方正书宋_GBK" w:eastAsia="方正书宋_GBK"/>
                <w:lang w:eastAsia="zh-CN"/>
              </w:rPr>
            </w:pPr>
            <w:r>
              <w:rPr>
                <w:rFonts w:hint="eastAsia" w:ascii="方正书宋_GBK" w:eastAsia="方正书宋_GBK"/>
                <w:lang w:eastAsia="zh-CN"/>
              </w:rPr>
              <w:t>创造好的营商环境</w:t>
            </w:r>
          </w:p>
        </w:tc>
        <w:tc>
          <w:tcPr>
            <w:tcW w:w="2891" w:type="dxa"/>
            <w:vAlign w:val="center"/>
          </w:tcPr>
          <w:p w14:paraId="580733DE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eastAsia="zh-CN"/>
              </w:rPr>
              <w:t>创造好的营商环境</w:t>
            </w:r>
          </w:p>
        </w:tc>
        <w:tc>
          <w:tcPr>
            <w:tcW w:w="1276" w:type="dxa"/>
            <w:vAlign w:val="center"/>
          </w:tcPr>
          <w:p w14:paraId="29426DBA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全区网络安全运行</w:t>
            </w:r>
          </w:p>
        </w:tc>
        <w:tc>
          <w:tcPr>
            <w:tcW w:w="1701" w:type="dxa"/>
            <w:vAlign w:val="center"/>
          </w:tcPr>
          <w:p w14:paraId="6B1686C1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</w:tr>
      <w:tr w14:paraId="7E5C1B3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Merge w:val="continue"/>
            <w:vAlign w:val="center"/>
          </w:tcPr>
          <w:p w14:paraId="0AF7EE90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 w14:paraId="56C4D07F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社会效益指标</w:t>
            </w:r>
          </w:p>
        </w:tc>
        <w:tc>
          <w:tcPr>
            <w:tcW w:w="1276" w:type="dxa"/>
            <w:vAlign w:val="center"/>
          </w:tcPr>
          <w:p w14:paraId="6A8D6E61">
            <w:pPr>
              <w:spacing w:line="300" w:lineRule="exact"/>
              <w:jc w:val="left"/>
              <w:rPr>
                <w:rFonts w:hint="eastAsia" w:ascii="方正书宋_GBK" w:eastAsia="方正书宋_GBK"/>
                <w:lang w:eastAsia="zh-CN"/>
              </w:rPr>
            </w:pPr>
            <w:r>
              <w:rPr>
                <w:rFonts w:hint="eastAsia" w:ascii="方正书宋_GBK" w:eastAsia="方正书宋_GBK"/>
                <w:lang w:eastAsia="zh-CN"/>
              </w:rPr>
              <w:t>提高政府形象</w:t>
            </w:r>
          </w:p>
        </w:tc>
        <w:tc>
          <w:tcPr>
            <w:tcW w:w="2891" w:type="dxa"/>
            <w:vAlign w:val="center"/>
          </w:tcPr>
          <w:p w14:paraId="5722443B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eastAsia="zh-CN"/>
              </w:rPr>
              <w:t>提高政府形象</w:t>
            </w:r>
          </w:p>
        </w:tc>
        <w:tc>
          <w:tcPr>
            <w:tcW w:w="1276" w:type="dxa"/>
            <w:vAlign w:val="center"/>
          </w:tcPr>
          <w:p w14:paraId="53320661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全区网络安全运行</w:t>
            </w:r>
          </w:p>
        </w:tc>
        <w:tc>
          <w:tcPr>
            <w:tcW w:w="1701" w:type="dxa"/>
            <w:vAlign w:val="center"/>
          </w:tcPr>
          <w:p w14:paraId="72618433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</w:tr>
      <w:tr w14:paraId="38DF517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  <w:jc w:val="center"/>
        </w:trPr>
        <w:tc>
          <w:tcPr>
            <w:tcW w:w="1134" w:type="dxa"/>
            <w:vAlign w:val="center"/>
          </w:tcPr>
          <w:p w14:paraId="4008AD39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满意度指标</w:t>
            </w:r>
          </w:p>
        </w:tc>
        <w:tc>
          <w:tcPr>
            <w:tcW w:w="1134" w:type="dxa"/>
            <w:vAlign w:val="center"/>
          </w:tcPr>
          <w:p w14:paraId="77BCC1AB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服务对象满意度指标</w:t>
            </w:r>
          </w:p>
        </w:tc>
        <w:tc>
          <w:tcPr>
            <w:tcW w:w="1276" w:type="dxa"/>
            <w:vAlign w:val="center"/>
          </w:tcPr>
          <w:p w14:paraId="1386DB57">
            <w:pPr>
              <w:spacing w:line="300" w:lineRule="exact"/>
              <w:jc w:val="left"/>
              <w:rPr>
                <w:rFonts w:hint="eastAsia" w:ascii="方正书宋_GBK" w:eastAsia="方正书宋_GBK"/>
                <w:lang w:eastAsia="zh-CN"/>
              </w:rPr>
            </w:pPr>
            <w:r>
              <w:rPr>
                <w:rFonts w:hint="eastAsia" w:ascii="方正书宋_GBK" w:eastAsia="方正书宋_GBK"/>
                <w:lang w:eastAsia="zh-CN"/>
              </w:rPr>
              <w:t>服务对象满意率</w:t>
            </w:r>
          </w:p>
        </w:tc>
        <w:tc>
          <w:tcPr>
            <w:tcW w:w="2891" w:type="dxa"/>
            <w:vAlign w:val="center"/>
          </w:tcPr>
          <w:p w14:paraId="3F5A0E26">
            <w:pPr>
              <w:spacing w:line="300" w:lineRule="exact"/>
              <w:jc w:val="left"/>
              <w:rPr>
                <w:rFonts w:hint="eastAsia" w:ascii="方正书宋_GBK" w:eastAsia="方正书宋_GBK"/>
                <w:lang w:eastAsia="zh-CN"/>
              </w:rPr>
            </w:pPr>
            <w:r>
              <w:rPr>
                <w:rFonts w:hint="eastAsia" w:ascii="方正书宋_GBK" w:eastAsia="方正书宋_GBK"/>
                <w:lang w:eastAsia="zh-CN"/>
              </w:rPr>
              <w:t>服务对象满意率</w:t>
            </w:r>
          </w:p>
        </w:tc>
        <w:tc>
          <w:tcPr>
            <w:tcW w:w="1276" w:type="dxa"/>
            <w:vAlign w:val="center"/>
          </w:tcPr>
          <w:p w14:paraId="5688FB64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全区网络安全运行</w:t>
            </w:r>
          </w:p>
        </w:tc>
        <w:tc>
          <w:tcPr>
            <w:tcW w:w="1701" w:type="dxa"/>
            <w:vAlign w:val="center"/>
          </w:tcPr>
          <w:p w14:paraId="56A8CB31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</w:tr>
    </w:tbl>
    <w:p w14:paraId="3694DEA4">
      <w:pPr>
        <w:ind w:firstLine="562" w:firstLineChars="200"/>
        <w:jc w:val="left"/>
        <w:outlineLvl w:val="3"/>
        <w:rPr>
          <w:rFonts w:hint="eastAsia" w:ascii="方正仿宋_GBK" w:eastAsia="方正仿宋_GBK"/>
          <w:b/>
          <w:sz w:val="28"/>
          <w:lang w:val="en-US" w:eastAsia="zh-CN"/>
        </w:rPr>
      </w:pPr>
    </w:p>
    <w:p w14:paraId="7281137B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 w14:paraId="0207F73B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 w14:paraId="63BF3452"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我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办</w:t>
      </w:r>
      <w:r>
        <w:rPr>
          <w:rFonts w:hint="eastAsia" w:ascii="仿宋" w:hAnsi="仿宋" w:eastAsia="仿宋"/>
          <w:color w:val="auto"/>
          <w:sz w:val="32"/>
          <w:szCs w:val="32"/>
        </w:rPr>
        <w:t>对项目经费进行核查，对相关文件、申报资料等资料进行收集整理，查询相关记账凭证进行核实、汇总，结合具体项目内容，设计绩效评价指标体系，真实、完整、全面的评价项目的实施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等</w:t>
      </w:r>
      <w:r>
        <w:rPr>
          <w:rFonts w:hint="eastAsia" w:ascii="仿宋" w:hAnsi="仿宋" w:eastAsia="仿宋"/>
          <w:color w:val="auto"/>
          <w:sz w:val="32"/>
          <w:szCs w:val="32"/>
        </w:rPr>
        <w:t>完成情况。</w:t>
      </w:r>
    </w:p>
    <w:p w14:paraId="30F50DC6"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 w14:paraId="123D1882"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根据相关文件精神，我办领导高度重视，召开专门会议。明确了工作任务，严格按照绩效自评管理办法进行自评。</w:t>
      </w:r>
    </w:p>
    <w:p w14:paraId="1B5BADD2"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本次绩效采用资料整理法，通过对相关记账凭证等财务资料查阅、核实、汇总分析，评价项目资金使用的规范性、支出范围的相关性和合理性等指标。通过以上方法，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严格</w:t>
      </w:r>
      <w:r>
        <w:rPr>
          <w:rFonts w:hint="eastAsia" w:ascii="仿宋" w:hAnsi="仿宋" w:eastAsia="仿宋"/>
          <w:color w:val="auto"/>
          <w:sz w:val="32"/>
          <w:szCs w:val="32"/>
        </w:rPr>
        <w:t>按照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财务制度支付，</w:t>
      </w:r>
      <w:r>
        <w:rPr>
          <w:rFonts w:hint="eastAsia" w:ascii="仿宋" w:hAnsi="仿宋" w:eastAsia="仿宋"/>
          <w:color w:val="auto"/>
          <w:sz w:val="32"/>
          <w:szCs w:val="32"/>
        </w:rPr>
        <w:t>符合项目资金使用的规范性、支出范围的相关性和合理性等指标。</w:t>
      </w:r>
    </w:p>
    <w:p w14:paraId="5A121DA9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 w14:paraId="7A447448"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 w14:paraId="6987738F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1、保障区政府办公室大型会议、重大活动正常顺利举办；</w:t>
      </w:r>
    </w:p>
    <w:p w14:paraId="41A1B485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2、保障区政府公文正常运转。围绕省市区的重大决策部署，围绕区领导重要批示和指示，围绕热点难点问题，明确责任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定出措施，按时间节点推进。通过调研课题就围绕政府民生关注的问题，指导各部门协调联动。</w:t>
      </w:r>
    </w:p>
    <w:p w14:paraId="06D1216D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3、公开电话及时处理好，老百姓身边的小事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，提高政府的公信力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325E6281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sz w:val="32"/>
          <w:szCs w:val="32"/>
        </w:rPr>
        <w:t>全区大气污染防治综合指导、组织协调、督导检查等工作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的具体落实。</w:t>
      </w:r>
    </w:p>
    <w:p w14:paraId="21BA6AB8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、保障区政府整体网络安全运转，数据资源丰富，权威可靠，网络联系性用户满意，线路通畅.</w:t>
      </w:r>
    </w:p>
    <w:p w14:paraId="55E414C3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、保证区政府办整体工作运转的前提下，尽量压减开支。</w:t>
      </w:r>
    </w:p>
    <w:p w14:paraId="2CC43711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总体绩效完成202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年所列项目费用支出。</w:t>
      </w:r>
    </w:p>
    <w:p w14:paraId="7EA957EA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 w14:paraId="1B858732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、网络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运行维护</w:t>
      </w:r>
      <w:r>
        <w:rPr>
          <w:rFonts w:hint="eastAsia" w:ascii="仿宋" w:hAnsi="仿宋" w:eastAsia="仿宋" w:cs="仿宋"/>
          <w:sz w:val="32"/>
          <w:szCs w:val="32"/>
        </w:rPr>
        <w:t>经费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和大气办办公经费</w:t>
      </w:r>
      <w:r>
        <w:rPr>
          <w:rFonts w:hint="eastAsia" w:ascii="仿宋" w:hAnsi="仿宋" w:eastAsia="仿宋" w:cs="仿宋"/>
          <w:sz w:val="32"/>
          <w:szCs w:val="32"/>
        </w:rPr>
        <w:t>：</w:t>
      </w:r>
    </w:p>
    <w:p w14:paraId="5CE39B29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绩效目标：保障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区政府三个院区办公</w:t>
      </w:r>
      <w:r>
        <w:rPr>
          <w:rFonts w:hint="eastAsia" w:ascii="仿宋" w:hAnsi="仿宋" w:eastAsia="仿宋" w:cs="仿宋"/>
          <w:sz w:val="32"/>
          <w:szCs w:val="32"/>
        </w:rPr>
        <w:t>网络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、电子政务外网、区政府视频会议系统以及区政府网站、协同办公平台和区政务新媒体（微博、微信）、网络中心机房安全运行畅通，</w:t>
      </w:r>
      <w:r>
        <w:rPr>
          <w:rFonts w:hint="eastAsia" w:ascii="仿宋" w:hAnsi="仿宋" w:eastAsia="仿宋" w:cs="仿宋"/>
          <w:sz w:val="32"/>
          <w:szCs w:val="32"/>
        </w:rPr>
        <w:t>减少故障率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，保障大气办正常办公需要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27CF810A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绩效指标：故障率减少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，保证日常办公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6B6D99FA">
      <w:pPr>
        <w:numPr>
          <w:ilvl w:val="0"/>
          <w:numId w:val="0"/>
        </w:num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2、公开电话服务外包经费：</w:t>
      </w:r>
    </w:p>
    <w:p w14:paraId="14037CDC">
      <w:pPr>
        <w:numPr>
          <w:ilvl w:val="0"/>
          <w:numId w:val="0"/>
        </w:numPr>
        <w:adjustRightInd w:val="0"/>
        <w:snapToGrid w:val="0"/>
        <w:spacing w:line="600" w:lineRule="exact"/>
        <w:ind w:firstLine="64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绩效目标：高质量完成公开电话服务外包工作，做好人员公开电话人员招聘工作，保证公开电话工作的正常运行，创造良好的投资营商环境，解决老百姓身边的小事。</w:t>
      </w:r>
    </w:p>
    <w:p w14:paraId="058DBC3E">
      <w:pPr>
        <w:numPr>
          <w:ilvl w:val="0"/>
          <w:numId w:val="0"/>
        </w:numPr>
        <w:adjustRightInd w:val="0"/>
        <w:snapToGrid w:val="0"/>
        <w:spacing w:line="600" w:lineRule="exact"/>
        <w:ind w:firstLine="64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绩效指标：完成率</w:t>
      </w:r>
    </w:p>
    <w:p w14:paraId="0B4369A3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5016578B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结合我单位实际情况，预算执行和支出绩效方面，都按照规定严格执行，合理安排支出，使财政资金发挥最大效益。综合得分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97分，部门整体支出绩效为“优”。</w:t>
      </w:r>
    </w:p>
    <w:p w14:paraId="6A4B4B59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6C6EFC8E">
      <w:pPr>
        <w:widowControl w:val="0"/>
        <w:wordWrap/>
        <w:spacing w:line="560" w:lineRule="exact"/>
        <w:ind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 w14:paraId="0EB8446C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加强资金的绩效意识，发挥资金最大效益。</w:t>
      </w:r>
    </w:p>
    <w:p w14:paraId="449C8DB8"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（二）针对问题提出具体的改进措施或建议</w:t>
      </w:r>
    </w:p>
    <w:p w14:paraId="36D46A82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一是健全项目管理制度，制定项目用款计划，预期绩效目标，充分发挥资金使用效益。二是加强财务人员业务素质，提高业务水平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bookmarkStart w:id="2" w:name="_GoBack"/>
      <w:bookmarkEnd w:id="2"/>
    </w:p>
    <w:p w14:paraId="0005B96E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</w:p>
    <w:p w14:paraId="77067751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</w:p>
    <w:p w14:paraId="57188A78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</w:p>
    <w:p w14:paraId="718EE42B"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5440" w:firstLineChars="1700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石家庄市长安区政府办</w:t>
      </w:r>
    </w:p>
    <w:p w14:paraId="3E2C1DFE"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080" w:firstLineChars="1900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2026年4月20日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C93A9C7-EBB8-47C9-9A34-506FD5253070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9F298F17-6B3A-4D02-9476-FD202915A689}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3" w:fontKey="{B9E8BEE6-6FE7-4581-9352-7D1C2E2B6EC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3F29BE47-1CE0-45D5-A5A4-F4DE26168526}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5" w:fontKey="{7ED38081-542B-4732-BA89-A16D5E7ED0CE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6" w:fontKey="{09E1C373-A8E2-494B-A24D-43F39E6211E2}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7" w:fontKey="{E8D4DC98-C211-40C0-8DD1-E035CFE0F0BC}"/>
  </w:font>
  <w:font w:name="方正书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8" w:fontKey="{580CEF5B-3062-4F1C-9577-6E05FF0F7C7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896C61">
    <w:pPr>
      <w:pStyle w:val="2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 w14:paraId="3EF5E8F2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1">
    <w:nsid w:val="1ABB32DE"/>
    <w:multiLevelType w:val="singleLevel"/>
    <w:tmpl w:val="1ABB32DE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EBD2122"/>
    <w:rsid w:val="006A761C"/>
    <w:rsid w:val="007E6C1F"/>
    <w:rsid w:val="00AF566A"/>
    <w:rsid w:val="00B6553A"/>
    <w:rsid w:val="00FB23E9"/>
    <w:rsid w:val="010F048C"/>
    <w:rsid w:val="01B104CA"/>
    <w:rsid w:val="01E6303C"/>
    <w:rsid w:val="02106AB0"/>
    <w:rsid w:val="02901D77"/>
    <w:rsid w:val="02B43A28"/>
    <w:rsid w:val="03AF1048"/>
    <w:rsid w:val="03D73A99"/>
    <w:rsid w:val="03E823F0"/>
    <w:rsid w:val="04597D82"/>
    <w:rsid w:val="046F331E"/>
    <w:rsid w:val="05482610"/>
    <w:rsid w:val="06DB4B92"/>
    <w:rsid w:val="07956271"/>
    <w:rsid w:val="07BA46FC"/>
    <w:rsid w:val="085B76DB"/>
    <w:rsid w:val="09721397"/>
    <w:rsid w:val="09F668F1"/>
    <w:rsid w:val="0A0611A5"/>
    <w:rsid w:val="0BB63BED"/>
    <w:rsid w:val="0C2D285A"/>
    <w:rsid w:val="0C303F6C"/>
    <w:rsid w:val="0C7E459E"/>
    <w:rsid w:val="0D286485"/>
    <w:rsid w:val="0DF420D3"/>
    <w:rsid w:val="0E02546A"/>
    <w:rsid w:val="0E0D6F3B"/>
    <w:rsid w:val="0EB97A43"/>
    <w:rsid w:val="0EBD2122"/>
    <w:rsid w:val="0F214EAE"/>
    <w:rsid w:val="10986762"/>
    <w:rsid w:val="11B71E6A"/>
    <w:rsid w:val="138941FF"/>
    <w:rsid w:val="14027543"/>
    <w:rsid w:val="151422C4"/>
    <w:rsid w:val="15233E24"/>
    <w:rsid w:val="173F45C2"/>
    <w:rsid w:val="17D51F13"/>
    <w:rsid w:val="18011F03"/>
    <w:rsid w:val="18737F1D"/>
    <w:rsid w:val="18A62598"/>
    <w:rsid w:val="19477E4F"/>
    <w:rsid w:val="1AAF0063"/>
    <w:rsid w:val="1AF50D1F"/>
    <w:rsid w:val="1B3273C3"/>
    <w:rsid w:val="1BD8715E"/>
    <w:rsid w:val="1BE140DE"/>
    <w:rsid w:val="1C16368E"/>
    <w:rsid w:val="1CA91833"/>
    <w:rsid w:val="1D8B5913"/>
    <w:rsid w:val="1ECB1514"/>
    <w:rsid w:val="1FEF0EF4"/>
    <w:rsid w:val="20552981"/>
    <w:rsid w:val="2116549F"/>
    <w:rsid w:val="231566E8"/>
    <w:rsid w:val="23661E55"/>
    <w:rsid w:val="24302A4C"/>
    <w:rsid w:val="2447546E"/>
    <w:rsid w:val="248C197D"/>
    <w:rsid w:val="252959AF"/>
    <w:rsid w:val="255C6DFE"/>
    <w:rsid w:val="258461CA"/>
    <w:rsid w:val="277A6671"/>
    <w:rsid w:val="292D35B7"/>
    <w:rsid w:val="2A4A0B29"/>
    <w:rsid w:val="2AA952FF"/>
    <w:rsid w:val="2B2F451C"/>
    <w:rsid w:val="2B7B388D"/>
    <w:rsid w:val="2BD82C09"/>
    <w:rsid w:val="2DB66817"/>
    <w:rsid w:val="2DCC5BA8"/>
    <w:rsid w:val="2E1E35EC"/>
    <w:rsid w:val="2E6609A2"/>
    <w:rsid w:val="2F090037"/>
    <w:rsid w:val="30586F7E"/>
    <w:rsid w:val="30806AFC"/>
    <w:rsid w:val="30E26401"/>
    <w:rsid w:val="30E61DC6"/>
    <w:rsid w:val="324307A3"/>
    <w:rsid w:val="33EB6CFF"/>
    <w:rsid w:val="34B63066"/>
    <w:rsid w:val="35A12947"/>
    <w:rsid w:val="35C86C4B"/>
    <w:rsid w:val="37387040"/>
    <w:rsid w:val="38CA7D80"/>
    <w:rsid w:val="3924646C"/>
    <w:rsid w:val="3B322D16"/>
    <w:rsid w:val="3B542501"/>
    <w:rsid w:val="3B625C0A"/>
    <w:rsid w:val="3C7C688B"/>
    <w:rsid w:val="3CEE1963"/>
    <w:rsid w:val="3DB50FFF"/>
    <w:rsid w:val="3DC06EAE"/>
    <w:rsid w:val="3E476443"/>
    <w:rsid w:val="3F93107C"/>
    <w:rsid w:val="3FE877DB"/>
    <w:rsid w:val="410C609F"/>
    <w:rsid w:val="42CA3436"/>
    <w:rsid w:val="44384CF4"/>
    <w:rsid w:val="456578FA"/>
    <w:rsid w:val="45F43BFF"/>
    <w:rsid w:val="461C3E68"/>
    <w:rsid w:val="478E1567"/>
    <w:rsid w:val="48D41C5F"/>
    <w:rsid w:val="4A7F2ABB"/>
    <w:rsid w:val="4AAC63F2"/>
    <w:rsid w:val="4AB6213A"/>
    <w:rsid w:val="4BA04A11"/>
    <w:rsid w:val="4C9C27FE"/>
    <w:rsid w:val="4D1D1F9A"/>
    <w:rsid w:val="4E5B5A88"/>
    <w:rsid w:val="4ED61287"/>
    <w:rsid w:val="4F672D31"/>
    <w:rsid w:val="4F6D11C4"/>
    <w:rsid w:val="4FAA1583"/>
    <w:rsid w:val="4FE20AA5"/>
    <w:rsid w:val="507E4344"/>
    <w:rsid w:val="50C17863"/>
    <w:rsid w:val="512260B4"/>
    <w:rsid w:val="51A67485"/>
    <w:rsid w:val="51C37B00"/>
    <w:rsid w:val="52BD6ACB"/>
    <w:rsid w:val="530323B4"/>
    <w:rsid w:val="539878E6"/>
    <w:rsid w:val="55537534"/>
    <w:rsid w:val="559A3D19"/>
    <w:rsid w:val="561574B8"/>
    <w:rsid w:val="561A74F1"/>
    <w:rsid w:val="569C5FB5"/>
    <w:rsid w:val="56AF7F3B"/>
    <w:rsid w:val="57091559"/>
    <w:rsid w:val="59491F7B"/>
    <w:rsid w:val="597244E8"/>
    <w:rsid w:val="598B3049"/>
    <w:rsid w:val="5B3A527C"/>
    <w:rsid w:val="5B7166D8"/>
    <w:rsid w:val="5BDD5CF6"/>
    <w:rsid w:val="5BFB23CF"/>
    <w:rsid w:val="5C6F666F"/>
    <w:rsid w:val="5CAF7C5E"/>
    <w:rsid w:val="5CB6390A"/>
    <w:rsid w:val="5D6556E9"/>
    <w:rsid w:val="5DD53467"/>
    <w:rsid w:val="5DEF6AED"/>
    <w:rsid w:val="5EB71C30"/>
    <w:rsid w:val="61D81B13"/>
    <w:rsid w:val="62D215E9"/>
    <w:rsid w:val="6311789A"/>
    <w:rsid w:val="636D7F15"/>
    <w:rsid w:val="64EE6A20"/>
    <w:rsid w:val="655F77D9"/>
    <w:rsid w:val="65C232FA"/>
    <w:rsid w:val="66AF0CE5"/>
    <w:rsid w:val="66F5302E"/>
    <w:rsid w:val="673E6AFA"/>
    <w:rsid w:val="675A500F"/>
    <w:rsid w:val="695947A7"/>
    <w:rsid w:val="69654816"/>
    <w:rsid w:val="6AC537CF"/>
    <w:rsid w:val="6AE50E22"/>
    <w:rsid w:val="6AE84634"/>
    <w:rsid w:val="6B390332"/>
    <w:rsid w:val="6CF64B08"/>
    <w:rsid w:val="6D1A4C47"/>
    <w:rsid w:val="6E5B14A6"/>
    <w:rsid w:val="6F8E555D"/>
    <w:rsid w:val="70210906"/>
    <w:rsid w:val="711B255E"/>
    <w:rsid w:val="725220D6"/>
    <w:rsid w:val="72EF3029"/>
    <w:rsid w:val="749701AD"/>
    <w:rsid w:val="75602909"/>
    <w:rsid w:val="75D734B1"/>
    <w:rsid w:val="762C1220"/>
    <w:rsid w:val="78790445"/>
    <w:rsid w:val="792D2361"/>
    <w:rsid w:val="79C92B05"/>
    <w:rsid w:val="7AD5611E"/>
    <w:rsid w:val="7B7375DA"/>
    <w:rsid w:val="7BAA2674"/>
    <w:rsid w:val="7BB51E06"/>
    <w:rsid w:val="7C387F7C"/>
    <w:rsid w:val="7C574B31"/>
    <w:rsid w:val="7D41603A"/>
    <w:rsid w:val="7F954512"/>
    <w:rsid w:val="7FE83423"/>
    <w:rsid w:val="7FF656B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2569</Words>
  <Characters>2688</Characters>
  <Lines>7</Lines>
  <Paragraphs>2</Paragraphs>
  <TotalTime>2</TotalTime>
  <ScaleCrop>false</ScaleCrop>
  <LinksUpToDate>false</LinksUpToDate>
  <CharactersWithSpaces>2708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缘来是你</cp:lastModifiedBy>
  <cp:lastPrinted>2022-01-19T07:24:00Z</cp:lastPrinted>
  <dcterms:modified xsi:type="dcterms:W3CDTF">2026-04-20T06:50:07Z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03920360186F476E8EEAFC7158440584</vt:lpwstr>
  </property>
  <property fmtid="{D5CDD505-2E9C-101B-9397-08002B2CF9AE}" pid="4" name="KSOTemplateDocerSaveRecord">
    <vt:lpwstr>eyJoZGlkIjoiYzFmYWRlYzNiOWFjYzAzZGE0ZjM1NTM0ZjZjOTBiYTIiLCJ1c2VySWQiOiIzNDUwMjE4MDMifQ==</vt:lpwstr>
  </property>
</Properties>
</file>