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5BF6">
      <w:pPr>
        <w:adjustRightInd w:val="0"/>
        <w:snapToGrid w:val="0"/>
        <w:spacing w:line="560" w:lineRule="exact"/>
        <w:rPr>
          <w:rFonts w:hint="eastAsia" w:ascii="仿宋_GB2312" w:eastAsia="仿宋_GB2312"/>
          <w:sz w:val="32"/>
          <w:szCs w:val="32"/>
          <w:lang w:val="en-US" w:eastAsia="zh-CN"/>
        </w:rPr>
      </w:pPr>
      <w:r>
        <w:rPr>
          <w:rFonts w:hint="eastAsia" w:ascii="仿宋_GB2312" w:eastAsia="仿宋_GB2312"/>
          <w:sz w:val="32"/>
          <w:szCs w:val="32"/>
        </w:rPr>
        <w:t>附件</w:t>
      </w:r>
      <w:r>
        <w:rPr>
          <w:rFonts w:hint="eastAsia" w:ascii="仿宋_GB2312" w:eastAsia="仿宋_GB2312"/>
          <w:sz w:val="32"/>
          <w:szCs w:val="32"/>
          <w:lang w:val="en-US" w:eastAsia="zh-CN"/>
        </w:rPr>
        <w:t>3</w:t>
      </w:r>
    </w:p>
    <w:p w14:paraId="0FFC9833">
      <w:pPr>
        <w:spacing w:line="560" w:lineRule="exact"/>
        <w:jc w:val="center"/>
        <w:rPr>
          <w:rFonts w:ascii="宋体" w:hAnsi="宋体" w:cs="宋体"/>
          <w:b/>
          <w:bCs/>
          <w:sz w:val="44"/>
          <w:szCs w:val="44"/>
        </w:rPr>
      </w:pPr>
    </w:p>
    <w:p w14:paraId="2A1B7BC5">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石家庄市长安区住房和城区建设局</w:t>
      </w:r>
    </w:p>
    <w:p w14:paraId="3439DBFA">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0D60C392">
      <w:pPr>
        <w:spacing w:line="560" w:lineRule="exact"/>
        <w:jc w:val="center"/>
        <w:rPr>
          <w:rFonts w:ascii="华文楷体" w:eastAsia="华文楷体"/>
          <w:sz w:val="32"/>
          <w:szCs w:val="32"/>
        </w:rPr>
      </w:pPr>
    </w:p>
    <w:p w14:paraId="362DEDAF">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hint="eastAsia" w:ascii="仿宋" w:hAnsi="仿宋" w:eastAsia="仿宋"/>
          <w:sz w:val="32"/>
          <w:szCs w:val="32"/>
          <w:lang w:eastAsia="zh-CN"/>
        </w:rPr>
        <w:t>区</w:t>
      </w:r>
      <w:r>
        <w:rPr>
          <w:rFonts w:hint="eastAsia" w:ascii="仿宋" w:hAnsi="仿宋" w:eastAsia="仿宋"/>
          <w:sz w:val="32"/>
          <w:szCs w:val="32"/>
        </w:rPr>
        <w:t>委</w:t>
      </w:r>
      <w:r>
        <w:rPr>
          <w:rFonts w:hint="eastAsia" w:ascii="仿宋" w:hAnsi="仿宋" w:eastAsia="仿宋"/>
          <w:sz w:val="32"/>
          <w:szCs w:val="32"/>
          <w:lang w:eastAsia="zh-CN"/>
        </w:rPr>
        <w:t>区</w:t>
      </w:r>
      <w:r>
        <w:rPr>
          <w:rFonts w:hint="eastAsia" w:ascii="仿宋" w:hAnsi="仿宋" w:eastAsia="仿宋"/>
          <w:sz w:val="32"/>
          <w:szCs w:val="32"/>
        </w:rPr>
        <w:t>政府《关于全面落实预算绩效管理的实施意见》（</w:t>
      </w:r>
      <w:r>
        <w:rPr>
          <w:rFonts w:hint="eastAsia" w:ascii="仿宋" w:hAnsi="仿宋" w:eastAsia="仿宋"/>
          <w:sz w:val="32"/>
          <w:szCs w:val="32"/>
          <w:lang w:eastAsia="zh-CN"/>
        </w:rPr>
        <w:t>长</w:t>
      </w:r>
      <w:r>
        <w:rPr>
          <w:rFonts w:hint="eastAsia" w:ascii="仿宋" w:hAnsi="仿宋" w:eastAsia="仿宋"/>
          <w:sz w:val="32"/>
          <w:szCs w:val="32"/>
        </w:rPr>
        <w:t>发﹝2019﹞8号）文件精神，遵循“科学性、规范性、客观性和公正性”的原则，对石家庄市长安区住房和城区建设局202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60C15557">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A16790">
      <w:pPr>
        <w:adjustRightInd w:val="0"/>
        <w:snapToGrid w:val="0"/>
        <w:spacing w:line="560" w:lineRule="exact"/>
        <w:ind w:firstLine="640" w:firstLineChars="200"/>
        <w:rPr>
          <w:rFonts w:ascii="楷体" w:hAnsi="楷体" w:eastAsia="楷体" w:cs="楷体_GB2312"/>
          <w:bCs/>
          <w:color w:val="auto"/>
          <w:sz w:val="32"/>
          <w:szCs w:val="32"/>
        </w:rPr>
      </w:pPr>
      <w:r>
        <w:rPr>
          <w:rFonts w:hint="eastAsia" w:ascii="楷体" w:hAnsi="楷体" w:eastAsia="楷体" w:cs="楷体_GB2312"/>
          <w:bCs/>
          <w:color w:val="auto"/>
          <w:sz w:val="32"/>
          <w:szCs w:val="32"/>
        </w:rPr>
        <w:t>（一）部门概况</w:t>
      </w:r>
    </w:p>
    <w:p w14:paraId="2A0A856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石家庄市长安区住房和城区建设局（简称区住房城区建设局）为区政府工作部门，机构规格正科级。</w:t>
      </w:r>
    </w:p>
    <w:p w14:paraId="6695B2A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长安区住建局主要职责是：</w:t>
      </w:r>
    </w:p>
    <w:p w14:paraId="7159D0D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（一）贯彻执行国家和省、市住房城区建设工作的方针、政策和法律、法规；研究提出住房城区建设领域重大问题的政策建议；负责住房城区建设行业安全生产监管。</w:t>
      </w:r>
    </w:p>
    <w:p w14:paraId="3602206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（二）贯彻落实城镇住房保障相关政策；拟订住房保障发展规划和年度计划；落实区保障房建设工作；组织棚户区改造项目的初审、申报。</w:t>
      </w:r>
    </w:p>
    <w:p w14:paraId="0EAD937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（三）负责落实住房制度改革工作，负责区属单位公有住房售房款和售后维修资金的管理工作。</w:t>
      </w:r>
    </w:p>
    <w:p w14:paraId="6C1F513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（四）负责房地产开发企业资质的批后监管和房地产中介机构的监管，以及商品住房租赁备案工作。</w:t>
      </w:r>
    </w:p>
    <w:p w14:paraId="72933DE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（五）负责房屋建筑市场的监督管理，指导规范房屋建设项目农民工工资发放；协助有关部门做好农民工工资清欠工作。</w:t>
      </w:r>
    </w:p>
    <w:p w14:paraId="4AB39C47">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（六）负责房屋建设工程的质量安全监督管理，做好本区房屋建设项目的竣工验收备案工作。配合工程质量、安全事故的调查处理。</w:t>
      </w:r>
    </w:p>
    <w:p w14:paraId="07C8BF0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（七）负责落实国家、省、市、区的建筑科技政策和建设任务，指导和推动全区建筑节能减排、绿色建筑发展、墙体材料革新、既有居住建筑节能改造等工作，承担房屋建筑工程节能监管工作。</w:t>
      </w:r>
    </w:p>
    <w:p w14:paraId="38B7BE8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（八）负责物业管理工作的协调、指导、监管，承担物业企业备案和物业项目备案工作，指导住宅室内装饰装修工作，组织老旧住宅小区整治工作；根据下放权限，负责住宅专项维修资金的使用审核工作。</w:t>
      </w:r>
    </w:p>
    <w:p w14:paraId="5ACD561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（九）负责房屋安全管理工作。</w:t>
      </w:r>
    </w:p>
    <w:p w14:paraId="034319B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（十）负责住房保障资格的审核管理。</w:t>
      </w:r>
    </w:p>
    <w:p w14:paraId="225F61B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（十一）负责住房和城区建设领域违法违规行为的巡查工作。</w:t>
      </w:r>
    </w:p>
    <w:p w14:paraId="4350E44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（十二）完成区委、区政府交办的其他任务。</w:t>
      </w:r>
    </w:p>
    <w:p w14:paraId="31217C4F">
      <w:pPr>
        <w:keepNext w:val="0"/>
        <w:keepLines w:val="0"/>
        <w:pageBreakBefore w:val="0"/>
        <w:numPr>
          <w:ilvl w:val="0"/>
          <w:numId w:val="0"/>
        </w:numPr>
        <w:kinsoku/>
        <w:wordWrap/>
        <w:overflowPunct/>
        <w:topLinePunct w:val="0"/>
        <w:autoSpaceDE/>
        <w:autoSpaceDN/>
        <w:bidi w:val="0"/>
        <w:snapToGrid w:val="0"/>
        <w:spacing w:line="560" w:lineRule="exact"/>
        <w:ind w:left="0" w:right="0" w:firstLine="640" w:firstLineChars="0"/>
        <w:rPr>
          <w:rFonts w:hint="default"/>
          <w:lang w:val="en-US" w:eastAsia="zh-CN"/>
        </w:rPr>
      </w:pPr>
      <w:r>
        <w:rPr>
          <w:rFonts w:hint="eastAsia" w:ascii="仿宋" w:hAnsi="仿宋" w:eastAsia="仿宋"/>
          <w:sz w:val="32"/>
          <w:szCs w:val="32"/>
          <w:highlight w:val="none"/>
          <w:lang w:val="en-US" w:eastAsia="zh-CN"/>
        </w:rPr>
        <w:t>人员基本情况：</w:t>
      </w:r>
      <w:r>
        <w:rPr>
          <w:rFonts w:hint="eastAsia" w:ascii="仿宋_GB2312" w:hAnsi="仿宋_GB2312" w:eastAsia="仿宋_GB2312" w:cs="仿宋_GB2312"/>
          <w:color w:val="000000"/>
          <w:sz w:val="32"/>
          <w:szCs w:val="32"/>
          <w:lang w:eastAsia="zh-CN"/>
        </w:rPr>
        <w:t>本年度年末实有在职人员</w:t>
      </w:r>
      <w:r>
        <w:rPr>
          <w:rFonts w:hint="eastAsia" w:ascii="仿宋_GB2312" w:hAnsi="仿宋_GB2312" w:eastAsia="仿宋_GB2312" w:cs="仿宋_GB2312"/>
          <w:color w:val="000000"/>
          <w:sz w:val="32"/>
          <w:szCs w:val="32"/>
          <w:lang w:val="en-US" w:eastAsia="zh-CN"/>
        </w:rPr>
        <w:t>43人（行政9人、事业32人、机关工勤2人），另有退休人员15人。</w:t>
      </w:r>
    </w:p>
    <w:p w14:paraId="0E333A21">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资产基本情况：本年度年末固定资产金额为276.92万元，其中车辆1台，价值9.5万元，其他固定资产993件，价值267.42万元。</w:t>
      </w:r>
    </w:p>
    <w:p w14:paraId="7510B73D">
      <w:pPr>
        <w:numPr>
          <w:ilvl w:val="0"/>
          <w:numId w:val="0"/>
        </w:numPr>
        <w:adjustRightInd w:val="0"/>
        <w:snapToGrid w:val="0"/>
        <w:spacing w:line="560" w:lineRule="exact"/>
        <w:ind w:firstLine="640" w:firstLineChars="200"/>
        <w:rPr>
          <w:rFonts w:hint="eastAsia" w:ascii="楷体" w:hAnsi="楷体" w:eastAsia="楷体" w:cs="楷体_GB2312"/>
          <w:bCs/>
          <w:color w:val="auto"/>
          <w:sz w:val="32"/>
          <w:szCs w:val="32"/>
        </w:rPr>
      </w:pPr>
      <w:r>
        <w:rPr>
          <w:rFonts w:hint="eastAsia" w:ascii="楷体" w:hAnsi="楷体" w:eastAsia="楷体" w:cs="楷体_GB2312"/>
          <w:bCs/>
          <w:color w:val="auto"/>
          <w:sz w:val="32"/>
          <w:szCs w:val="32"/>
          <w:lang w:eastAsia="zh-CN"/>
        </w:rPr>
        <w:t>（</w:t>
      </w:r>
      <w:r>
        <w:rPr>
          <w:rFonts w:hint="eastAsia" w:ascii="楷体" w:hAnsi="楷体" w:eastAsia="楷体" w:cs="楷体_GB2312"/>
          <w:bCs/>
          <w:color w:val="auto"/>
          <w:sz w:val="32"/>
          <w:szCs w:val="32"/>
          <w:lang w:val="en-US" w:eastAsia="zh-CN"/>
        </w:rPr>
        <w:t>二</w:t>
      </w:r>
      <w:r>
        <w:rPr>
          <w:rFonts w:hint="eastAsia" w:ascii="楷体" w:hAnsi="楷体" w:eastAsia="楷体" w:cs="楷体_GB2312"/>
          <w:bCs/>
          <w:color w:val="auto"/>
          <w:sz w:val="32"/>
          <w:szCs w:val="32"/>
          <w:lang w:eastAsia="zh-CN"/>
        </w:rPr>
        <w:t>）</w:t>
      </w:r>
      <w:r>
        <w:rPr>
          <w:rFonts w:hint="eastAsia" w:ascii="楷体" w:hAnsi="楷体" w:eastAsia="楷体" w:cs="楷体_GB2312"/>
          <w:bCs/>
          <w:color w:val="auto"/>
          <w:sz w:val="32"/>
          <w:szCs w:val="32"/>
        </w:rPr>
        <w:t>部门收支预决算情况</w:t>
      </w:r>
    </w:p>
    <w:p w14:paraId="6CE9CD2F">
      <w:pPr>
        <w:adjustRightInd w:val="0"/>
        <w:snapToGrid w:val="0"/>
        <w:spacing w:line="560" w:lineRule="exact"/>
        <w:ind w:firstLine="640" w:firstLineChars="200"/>
      </w:pPr>
      <w:r>
        <w:rPr>
          <w:rFonts w:hint="eastAsia" w:ascii="仿宋" w:hAnsi="仿宋" w:eastAsia="仿宋"/>
          <w:color w:val="auto"/>
          <w:sz w:val="32"/>
          <w:szCs w:val="32"/>
        </w:rPr>
        <w:t>我局202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年预算收入</w:t>
      </w:r>
      <w:r>
        <w:rPr>
          <w:rFonts w:hint="eastAsia" w:ascii="仿宋" w:hAnsi="仿宋" w:eastAsia="仿宋"/>
          <w:color w:val="auto"/>
          <w:sz w:val="32"/>
          <w:szCs w:val="32"/>
          <w:lang w:val="en-US" w:eastAsia="zh-CN"/>
        </w:rPr>
        <w:t>44931.86</w:t>
      </w:r>
      <w:r>
        <w:rPr>
          <w:rFonts w:hint="eastAsia" w:ascii="仿宋" w:hAnsi="仿宋" w:eastAsia="仿宋"/>
          <w:color w:val="auto"/>
          <w:sz w:val="32"/>
          <w:szCs w:val="32"/>
        </w:rPr>
        <w:t>万元，截</w:t>
      </w:r>
      <w:r>
        <w:rPr>
          <w:rFonts w:hint="eastAsia" w:ascii="仿宋" w:hAnsi="仿宋" w:eastAsia="仿宋"/>
          <w:color w:val="auto"/>
          <w:sz w:val="32"/>
          <w:szCs w:val="32"/>
          <w:lang w:eastAsia="zh-CN"/>
        </w:rPr>
        <w:t>至</w:t>
      </w:r>
      <w:bookmarkStart w:id="0" w:name="_GoBack"/>
      <w:bookmarkEnd w:id="0"/>
      <w:r>
        <w:rPr>
          <w:rFonts w:hint="eastAsia" w:ascii="仿宋" w:hAnsi="仿宋" w:eastAsia="仿宋"/>
          <w:color w:val="auto"/>
          <w:sz w:val="32"/>
          <w:szCs w:val="32"/>
        </w:rPr>
        <w:t>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年底支出</w:t>
      </w:r>
      <w:r>
        <w:rPr>
          <w:rFonts w:hint="eastAsia" w:ascii="仿宋" w:hAnsi="仿宋" w:eastAsia="仿宋"/>
          <w:color w:val="auto"/>
          <w:sz w:val="32"/>
          <w:szCs w:val="32"/>
          <w:lang w:val="en-US" w:eastAsia="zh-CN"/>
        </w:rPr>
        <w:t>30522.72</w:t>
      </w:r>
      <w:r>
        <w:rPr>
          <w:rFonts w:hint="eastAsia" w:ascii="仿宋" w:hAnsi="仿宋" w:eastAsia="仿宋"/>
          <w:color w:val="auto"/>
          <w:sz w:val="32"/>
          <w:szCs w:val="32"/>
        </w:rPr>
        <w:t>万元，剩余资金上缴财政。</w:t>
      </w:r>
    </w:p>
    <w:p w14:paraId="1E24B8E7">
      <w:pPr>
        <w:numPr>
          <w:ilvl w:val="0"/>
          <w:numId w:val="0"/>
        </w:numPr>
        <w:adjustRightInd w:val="0"/>
        <w:snapToGrid w:val="0"/>
        <w:spacing w:line="560" w:lineRule="exact"/>
        <w:ind w:firstLine="640" w:firstLineChars="200"/>
        <w:rPr>
          <w:rFonts w:hint="eastAsia" w:ascii="楷体" w:hAnsi="楷体" w:eastAsia="楷体" w:cs="楷体_GB2312"/>
          <w:bCs/>
          <w:color w:val="auto"/>
          <w:sz w:val="32"/>
          <w:szCs w:val="32"/>
          <w:lang w:val="en-US" w:eastAsia="zh-CN"/>
        </w:rPr>
      </w:pPr>
      <w:r>
        <w:rPr>
          <w:rFonts w:hint="eastAsia" w:ascii="楷体" w:hAnsi="楷体" w:eastAsia="楷体" w:cs="楷体_GB2312"/>
          <w:bCs/>
          <w:color w:val="auto"/>
          <w:sz w:val="32"/>
          <w:szCs w:val="32"/>
          <w:lang w:val="en-US" w:eastAsia="zh-CN"/>
        </w:rPr>
        <w:t>（三）部门整体支出绩效目标、指标</w:t>
      </w:r>
    </w:p>
    <w:p w14:paraId="2E194D54">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olor w:val="auto"/>
          <w:sz w:val="32"/>
          <w:szCs w:val="32"/>
        </w:rPr>
        <w:t>贯彻落实石家庄市住房保障工作的有关法规政策，研究制定本区住房保障工作具体实施方案。全面对辖区内的物业管理进行监督指导和行政执法，做好对辖区内各类危旧房屋及其附属设施进行检查、鉴定工作。为保证装饰装修的安全和质量，维护公共安全和公共利益需要对本辖区内城市住宅室内装修装饰进行监督管理。加强对辖区建筑工地进行扬尘治理的监管及建设项目质量安全的监督工作，全面提高人员业务素质，保障全局工作的稳定运行，圆满完成区委、区政府交办的各项工作任务。</w:t>
      </w:r>
    </w:p>
    <w:p w14:paraId="631A511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00548C30">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6DF24F6F">
      <w:pPr>
        <w:rPr>
          <w:rFonts w:hint="eastAsia" w:eastAsia="宋体"/>
          <w:lang w:eastAsia="zh-CN"/>
        </w:rPr>
      </w:pPr>
      <w:r>
        <w:rPr>
          <w:rFonts w:hint="eastAsia" w:ascii="仿宋" w:hAnsi="仿宋" w:eastAsia="仿宋"/>
          <w:sz w:val="32"/>
          <w:szCs w:val="32"/>
        </w:rPr>
        <w:t xml:space="preserve">     </w:t>
      </w:r>
      <w:r>
        <w:rPr>
          <w:rFonts w:hint="eastAsia" w:ascii="仿宋" w:hAnsi="仿宋" w:eastAsia="仿宋"/>
          <w:sz w:val="32"/>
          <w:szCs w:val="32"/>
          <w:lang w:eastAsia="zh-CN"/>
        </w:rPr>
        <w:t>我局接到财政专项资金绩效自评通知后，局党组第一时间部署安排，成立专项自评工作小组，明确由办公室财务部门牵头、住房管理股等业务科室协同配合的职责分工体系，对202</w:t>
      </w:r>
      <w:r>
        <w:rPr>
          <w:rFonts w:hint="eastAsia" w:ascii="仿宋" w:hAnsi="仿宋" w:eastAsia="仿宋"/>
          <w:sz w:val="32"/>
          <w:szCs w:val="32"/>
          <w:lang w:val="en-US" w:eastAsia="zh-CN"/>
        </w:rPr>
        <w:t>5年度专项资金使用情况开展了自评工作。</w:t>
      </w:r>
    </w:p>
    <w:p w14:paraId="3FE2DDF4">
      <w:pPr>
        <w:numPr>
          <w:ilvl w:val="0"/>
          <w:numId w:val="1"/>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71E04F3F">
      <w:pPr>
        <w:pStyle w:val="3"/>
        <w:ind w:firstLine="640" w:firstLineChars="200"/>
      </w:pPr>
      <w:r>
        <w:rPr>
          <w:rFonts w:hint="eastAsia" w:ascii="仿宋" w:hAnsi="仿宋" w:eastAsia="仿宋"/>
          <w:sz w:val="32"/>
          <w:szCs w:val="32"/>
        </w:rPr>
        <w:t>绩效自评工作领导小组对专项资金申请及相关文件进行了审核，全面掌握了资金申请的依据</w:t>
      </w:r>
      <w:r>
        <w:rPr>
          <w:rFonts w:hint="eastAsia" w:ascii="仿宋" w:hAnsi="仿宋" w:eastAsia="仿宋"/>
          <w:sz w:val="32"/>
          <w:szCs w:val="32"/>
          <w:lang w:eastAsia="zh-CN"/>
        </w:rPr>
        <w:t>和</w:t>
      </w:r>
      <w:r>
        <w:rPr>
          <w:rFonts w:hint="eastAsia" w:ascii="仿宋" w:hAnsi="仿宋" w:eastAsia="仿宋"/>
          <w:sz w:val="32"/>
          <w:szCs w:val="32"/>
        </w:rPr>
        <w:t>拨付流程，并对项目资金的使用情况</w:t>
      </w:r>
      <w:r>
        <w:rPr>
          <w:rFonts w:hint="eastAsia" w:ascii="仿宋" w:hAnsi="仿宋" w:eastAsia="仿宋"/>
          <w:sz w:val="32"/>
          <w:szCs w:val="32"/>
          <w:lang w:val="en-US" w:eastAsia="zh-CN"/>
        </w:rPr>
        <w:t>及支付时提供的各项材料</w:t>
      </w:r>
      <w:r>
        <w:rPr>
          <w:rFonts w:hint="eastAsia" w:ascii="仿宋" w:hAnsi="仿宋" w:eastAsia="仿宋"/>
          <w:sz w:val="32"/>
          <w:szCs w:val="32"/>
        </w:rPr>
        <w:t>进行了细致审查。</w:t>
      </w:r>
    </w:p>
    <w:p w14:paraId="125113B7">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BE56030">
      <w:pPr>
        <w:numPr>
          <w:ilvl w:val="0"/>
          <w:numId w:val="2"/>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5C3697F4">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年度专项资金按照预期绩效目标基本完成，剩余资金年底上交财政。</w:t>
      </w:r>
    </w:p>
    <w:p w14:paraId="0A6C4A9B">
      <w:pPr>
        <w:spacing w:line="560" w:lineRule="exact"/>
        <w:ind w:firstLine="800" w:firstLineChars="250"/>
        <w:rPr>
          <w:rFonts w:ascii="仿宋" w:hAnsi="仿宋" w:eastAsia="仿宋"/>
          <w:sz w:val="32"/>
          <w:szCs w:val="32"/>
        </w:rPr>
      </w:pPr>
      <w:r>
        <w:rPr>
          <w:rFonts w:hint="eastAsia" w:ascii="仿宋" w:hAnsi="仿宋" w:eastAsia="仿宋"/>
          <w:sz w:val="32"/>
          <w:szCs w:val="32"/>
        </w:rPr>
        <w:t>我局积极配合财政局的相关文件精神，全面推进预算绩效管理工作，不断提高绩效管理工作的质量和水平，提高财政资金使用效益，取得了较好的成效。</w:t>
      </w:r>
    </w:p>
    <w:p w14:paraId="1F878CF2">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79127A9B">
      <w:pPr>
        <w:spacing w:line="560" w:lineRule="exact"/>
        <w:ind w:firstLine="640" w:firstLineChars="200"/>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数量指标：</w:t>
      </w:r>
      <w:r>
        <w:rPr>
          <w:rFonts w:hint="eastAsia" w:ascii="仿宋_GB2312" w:hAnsi="仿宋_GB2312" w:eastAsia="仿宋_GB2312" w:cs="仿宋_GB2312"/>
          <w:color w:val="auto"/>
          <w:sz w:val="32"/>
          <w:szCs w:val="32"/>
          <w:lang w:val="en-US" w:eastAsia="zh-CN"/>
        </w:rPr>
        <w:t>2024年老旧小区改造到位中央财政城镇保障性安居工程补助资金</w:t>
      </w:r>
      <w:r>
        <w:rPr>
          <w:rFonts w:hint="eastAsia" w:ascii="仿宋_GB2312" w:hAnsi="仿宋_GB2312" w:eastAsia="仿宋_GB2312" w:cs="仿宋_GB2312"/>
          <w:color w:val="auto"/>
          <w:sz w:val="32"/>
          <w:szCs w:val="32"/>
          <w:highlight w:val="none"/>
          <w:lang w:val="en-US" w:eastAsia="zh-CN"/>
        </w:rPr>
        <w:t>改造完成率100%，完成预算指标；2024年老旧小区改造到位省级奖补资金改造完成率100%，完成预算指标；</w:t>
      </w:r>
      <w:r>
        <w:rPr>
          <w:rFonts w:hint="eastAsia" w:ascii="仿宋_GB2312" w:hAnsi="仿宋_GB2312" w:eastAsia="仿宋_GB2312" w:cs="仿宋_GB2312"/>
          <w:color w:val="auto"/>
          <w:sz w:val="32"/>
          <w:szCs w:val="32"/>
          <w:lang w:val="en-US" w:eastAsia="zh-CN"/>
        </w:rPr>
        <w:t>2025年老旧小区改造到位中央财政城镇保障性安居工程补助资金</w:t>
      </w:r>
      <w:r>
        <w:rPr>
          <w:rFonts w:hint="eastAsia" w:ascii="仿宋_GB2312" w:hAnsi="仿宋_GB2312" w:eastAsia="仿宋_GB2312" w:cs="仿宋_GB2312"/>
          <w:color w:val="auto"/>
          <w:sz w:val="32"/>
          <w:szCs w:val="32"/>
          <w:highlight w:val="none"/>
          <w:lang w:val="en-US" w:eastAsia="zh-CN"/>
        </w:rPr>
        <w:t>改造完成率100%，完成预算指标；2025年老旧小区改造到位省级奖补资金改造完成率100%，完成预算指标；</w:t>
      </w:r>
      <w:r>
        <w:rPr>
          <w:rFonts w:hint="eastAsia" w:ascii="仿宋_GB2312" w:hAnsi="仿宋_GB2312" w:eastAsia="仿宋_GB2312" w:cs="仿宋_GB2312"/>
          <w:color w:val="auto"/>
          <w:sz w:val="32"/>
          <w:szCs w:val="32"/>
          <w:lang w:val="en-US" w:eastAsia="zh-CN"/>
        </w:rPr>
        <w:t>2025年国家支持住宅老旧电梯更新改造项目超长期特别国债</w:t>
      </w:r>
      <w:r>
        <w:rPr>
          <w:rFonts w:hint="eastAsia" w:ascii="仿宋_GB2312" w:hAnsi="仿宋_GB2312" w:eastAsia="仿宋_GB2312" w:cs="仿宋_GB2312"/>
          <w:color w:val="auto"/>
          <w:sz w:val="32"/>
          <w:szCs w:val="32"/>
          <w:highlight w:val="none"/>
          <w:lang w:val="en-US" w:eastAsia="zh-CN"/>
        </w:rPr>
        <w:t>改造完成率100%，完成预算指标；</w:t>
      </w:r>
      <w:r>
        <w:rPr>
          <w:rFonts w:hint="eastAsia" w:ascii="仿宋_GB2312" w:hAnsi="仿宋_GB2312" w:eastAsia="仿宋_GB2312" w:cs="仿宋_GB2312"/>
          <w:color w:val="auto"/>
          <w:sz w:val="32"/>
          <w:szCs w:val="32"/>
          <w:lang w:val="en-US" w:eastAsia="zh-CN"/>
        </w:rPr>
        <w:t>2025年老旧小区改造政府专债</w:t>
      </w:r>
      <w:r>
        <w:rPr>
          <w:rFonts w:hint="eastAsia" w:ascii="仿宋_GB2312" w:hAnsi="仿宋_GB2312" w:eastAsia="仿宋_GB2312" w:cs="仿宋_GB2312"/>
          <w:color w:val="auto"/>
          <w:sz w:val="32"/>
          <w:szCs w:val="32"/>
          <w:highlight w:val="none"/>
          <w:lang w:val="en-US" w:eastAsia="zh-CN"/>
        </w:rPr>
        <w:t>改造完成率100%，完成预算指标；2025年度D级危房回租资金发放完成率100%，完成预算指标；2025年度中央城镇保障性安居工程资金按工程进度支付完成率100%，完成预算指标；2025年度省级城镇保障性安居工程资金按工程进度支付完成率100%，完成预算指标；城市更新专项2025年中央基建投资预算长安区城市危旧房改造项目资金使用率100%，完成预算指标；2025年度共发放7批个人购房补贴，资金发放率100%，完成预算指标；2025年建筑工地智慧监管专项经费完成率100%；完成预算指标；2025年租赁天洲国际中心地下车位专项资金费用完成率100%；完成预算指标；2025年接入电子政务外网及建立建设工程指挥调度中心项目专项资金费用完成率100%；完成预算指标。</w:t>
      </w:r>
    </w:p>
    <w:p w14:paraId="2F39EF1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质量指标：</w:t>
      </w:r>
      <w:r>
        <w:rPr>
          <w:rFonts w:hint="eastAsia" w:ascii="仿宋_GB2312" w:hAnsi="仿宋_GB2312" w:eastAsia="仿宋_GB2312" w:cs="仿宋_GB2312"/>
          <w:color w:val="auto"/>
          <w:sz w:val="32"/>
          <w:szCs w:val="32"/>
          <w:lang w:val="en-US" w:eastAsia="zh-CN"/>
        </w:rPr>
        <w:t>2019年老旧小区整治提升专项资金在对老旧小区</w:t>
      </w:r>
      <w:r>
        <w:rPr>
          <w:rFonts w:hint="eastAsia" w:ascii="仿宋_GB2312" w:hAnsi="仿宋_GB2312" w:eastAsia="仿宋_GB2312" w:cs="仿宋_GB2312"/>
          <w:color w:val="auto"/>
          <w:sz w:val="32"/>
          <w:szCs w:val="32"/>
        </w:rPr>
        <w:t>主楼外墙粉剧、</w:t>
      </w:r>
      <w:r>
        <w:rPr>
          <w:rFonts w:hint="eastAsia" w:ascii="仿宋_GB2312" w:hAnsi="仿宋_GB2312" w:eastAsia="仿宋_GB2312" w:cs="仿宋_GB2312"/>
          <w:color w:val="auto"/>
          <w:sz w:val="32"/>
          <w:szCs w:val="32"/>
          <w:lang w:eastAsia="zh-CN"/>
        </w:rPr>
        <w:t>便道砖</w:t>
      </w:r>
      <w:r>
        <w:rPr>
          <w:rFonts w:hint="eastAsia" w:ascii="仿宋_GB2312" w:hAnsi="仿宋_GB2312" w:eastAsia="仿宋_GB2312" w:cs="仿宋_GB2312"/>
          <w:color w:val="auto"/>
          <w:sz w:val="32"/>
          <w:szCs w:val="32"/>
        </w:rPr>
        <w:t>翻新、树木修剪绿化等</w:t>
      </w:r>
      <w:r>
        <w:rPr>
          <w:rFonts w:hint="eastAsia" w:ascii="仿宋_GB2312" w:hAnsi="仿宋_GB2312" w:eastAsia="仿宋_GB2312" w:cs="仿宋_GB2312"/>
          <w:color w:val="auto"/>
          <w:sz w:val="32"/>
          <w:szCs w:val="32"/>
          <w:lang w:eastAsia="zh-CN"/>
        </w:rPr>
        <w:t>修缮后，</w:t>
      </w:r>
      <w:r>
        <w:rPr>
          <w:rFonts w:hint="eastAsia" w:ascii="仿宋_GB2312" w:hAnsi="仿宋_GB2312" w:eastAsia="仿宋_GB2312" w:cs="仿宋_GB2312"/>
          <w:color w:val="auto"/>
          <w:sz w:val="32"/>
          <w:szCs w:val="32"/>
          <w:highlight w:val="none"/>
          <w:lang w:val="en-US" w:eastAsia="zh-CN"/>
        </w:rPr>
        <w:t>居民居住环境显著提升；</w:t>
      </w:r>
      <w:r>
        <w:rPr>
          <w:rFonts w:hint="eastAsia" w:ascii="仿宋_GB2312" w:hAnsi="仿宋_GB2312" w:eastAsia="仿宋_GB2312" w:cs="仿宋_GB2312"/>
          <w:color w:val="auto"/>
          <w:sz w:val="32"/>
          <w:szCs w:val="32"/>
          <w:lang w:val="en-US" w:eastAsia="zh-CN"/>
        </w:rPr>
        <w:t>2024年老旧小区改造专项资金在对老旧小区路面硬化、外墙粉刷、屋面防水工程、更换垃圾桶、消防工程、给排水工程、安装视频监控，弱电线缆整理，安装路灯，其他工程等</w:t>
      </w:r>
      <w:r>
        <w:rPr>
          <w:rFonts w:hint="eastAsia" w:ascii="仿宋_GB2312" w:hAnsi="仿宋_GB2312" w:eastAsia="仿宋_GB2312" w:cs="仿宋_GB2312"/>
          <w:color w:val="auto"/>
          <w:sz w:val="32"/>
          <w:szCs w:val="32"/>
          <w:lang w:eastAsia="zh-CN"/>
        </w:rPr>
        <w:t>改造后，</w:t>
      </w:r>
      <w:r>
        <w:rPr>
          <w:rFonts w:hint="eastAsia" w:ascii="仿宋_GB2312" w:hAnsi="仿宋_GB2312" w:eastAsia="仿宋_GB2312" w:cs="仿宋_GB2312"/>
          <w:color w:val="auto"/>
          <w:sz w:val="32"/>
          <w:szCs w:val="32"/>
          <w:highlight w:val="none"/>
          <w:lang w:val="en-US" w:eastAsia="zh-CN"/>
        </w:rPr>
        <w:t>使老旧小区旧貌换新颜，进一步提升了居民居住品质和生活质量，居民居住环境显著提升；既有住宅加装电梯专项补贴资金对没有电梯的既有住宅加装电梯，进一步提升了居民居住品质和生活质量，居民居住环境显著提升；</w:t>
      </w:r>
      <w:r>
        <w:rPr>
          <w:rFonts w:hint="eastAsia" w:ascii="仿宋_GB2312" w:hAnsi="仿宋_GB2312" w:eastAsia="仿宋_GB2312" w:cs="仿宋_GB2312"/>
          <w:color w:val="auto"/>
          <w:sz w:val="32"/>
          <w:szCs w:val="32"/>
          <w:lang w:val="en-US" w:eastAsia="zh-CN"/>
        </w:rPr>
        <w:t>2024年老旧小区改造增补项目专项资金在对老旧小区路面硬化、外墙粉刷、屋面防水工程、更换垃圾桶、消防工程、给排水工程、安装视频监控，弱电线缆整理，安装路灯，其他工程等</w:t>
      </w:r>
      <w:r>
        <w:rPr>
          <w:rFonts w:hint="eastAsia" w:ascii="仿宋_GB2312" w:hAnsi="仿宋_GB2312" w:eastAsia="仿宋_GB2312" w:cs="仿宋_GB2312"/>
          <w:color w:val="auto"/>
          <w:sz w:val="32"/>
          <w:szCs w:val="32"/>
          <w:lang w:eastAsia="zh-CN"/>
        </w:rPr>
        <w:t>改造后，</w:t>
      </w:r>
      <w:r>
        <w:rPr>
          <w:rFonts w:hint="eastAsia" w:ascii="仿宋_GB2312" w:hAnsi="仿宋_GB2312" w:eastAsia="仿宋_GB2312" w:cs="仿宋_GB2312"/>
          <w:color w:val="auto"/>
          <w:sz w:val="32"/>
          <w:szCs w:val="32"/>
          <w:highlight w:val="none"/>
          <w:lang w:val="en-US" w:eastAsia="zh-CN"/>
        </w:rPr>
        <w:t>使老旧小区旧貌换新颜，进一步提升了居民居住品质和生活质量，居民居住环境显著提升；</w:t>
      </w:r>
      <w:r>
        <w:rPr>
          <w:rFonts w:hint="eastAsia" w:ascii="仿宋_GB2312" w:hAnsi="仿宋_GB2312" w:eastAsia="仿宋_GB2312" w:cs="仿宋_GB2312"/>
          <w:color w:val="auto"/>
          <w:sz w:val="32"/>
          <w:szCs w:val="32"/>
          <w:lang w:val="en-US" w:eastAsia="zh-CN"/>
        </w:rPr>
        <w:t>住宅老旧电梯更新超长期特别国债专项资金在对老旧电梯更新改造后，</w:t>
      </w:r>
      <w:r>
        <w:rPr>
          <w:rFonts w:hint="eastAsia" w:ascii="仿宋_GB2312" w:hAnsi="仿宋_GB2312" w:eastAsia="仿宋_GB2312" w:cs="仿宋_GB2312"/>
          <w:color w:val="auto"/>
          <w:sz w:val="32"/>
          <w:szCs w:val="32"/>
          <w:highlight w:val="none"/>
          <w:lang w:val="en-US" w:eastAsia="zh-CN"/>
        </w:rPr>
        <w:t>进一步提升了居民居住品质和生活质量，居民居住环境显著提升；2025年D级危房回租资金，主要用于D级危房搬离回租资金街道，使得居民居住水平得到有效改善；2025年中央财政保障性安居工程资金及省级保障性安居工程资金用于城市危旧房加固改造，对危旧房进行了楼体改造、室内供排水管网改造、电气工程、供暖管网、屋顶防水保温改造、室外管网改造等配套设施改造。进一步提升了房屋的安全性，居民居住环境生活质量显著提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房地产新建商品房的购房补贴资金，该政策为贯彻落实党中央、国务院决策部署，适应房地产市场供求关系的新变化、人民群众对优质住房的新期待，加快了构建房地产发展新模式，促进了我市房地产市场平稳健康发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建筑工地智慧监管项目</w:t>
      </w:r>
      <w:r>
        <w:rPr>
          <w:rFonts w:hint="eastAsia" w:ascii="仿宋_GB2312" w:hAnsi="仿宋_GB2312" w:eastAsia="仿宋_GB2312" w:cs="仿宋_GB2312"/>
          <w:color w:val="auto"/>
          <w:sz w:val="32"/>
          <w:szCs w:val="32"/>
        </w:rPr>
        <w:t>深入落实《河北省扬尘污染防治办法》，全面做好全区建筑施工扬尘污染防治工作，持续改善生态环境质量，不断增强人民群众的幸福感和安全感，亟需进一步加大科学治理力度，构建现代化管理体制。</w:t>
      </w:r>
      <w:r>
        <w:rPr>
          <w:rFonts w:hint="eastAsia" w:ascii="仿宋_GB2312" w:hAnsi="仿宋_GB2312" w:eastAsia="仿宋_GB2312" w:cs="仿宋_GB2312"/>
          <w:color w:val="auto"/>
          <w:sz w:val="32"/>
          <w:szCs w:val="32"/>
          <w:highlight w:val="none"/>
          <w:lang w:val="en-US" w:eastAsia="zh-CN"/>
        </w:rPr>
        <w:t>租赁天洲国际中心地下车位项目为租赁协会、租赁企业、中介机构和群众提供住房租赁全方位服用户进行“面对面”的房屋租赁活动，还对租赁企务，利用“互联网+”的模式，将线下资源整合在一起集中展示，不仅提供全方位的政策咨询和配套服务，方便不熟悉线上操作的业进行统一登记备案管理，为长安区群众办理房产交易、缴税和登记提供便利服务，有利带动区域经济发展。接入电子政务外网及建立建设工程指挥调度中心项目参照市级建设工程指挥中心建设要求，建立县（市）区级建设工程指挥调度中心，与市级建立视频连接，实现与市建筑工地扬尘远程视频监控平台对接和视频数据的自行录入监管，及时调度建设工程施工现场的各类事项。</w:t>
      </w:r>
    </w:p>
    <w:p w14:paraId="46B72472">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满意度指标：</w:t>
      </w:r>
      <w:r>
        <w:rPr>
          <w:rFonts w:hint="eastAsia" w:ascii="仿宋_GB2312" w:eastAsia="仿宋_GB2312"/>
          <w:color w:val="auto"/>
          <w:sz w:val="32"/>
          <w:szCs w:val="32"/>
        </w:rPr>
        <w:t>通过对服务对象满意度进行调查分析，</w:t>
      </w:r>
      <w:r>
        <w:rPr>
          <w:rFonts w:hint="eastAsia" w:ascii="仿宋_GB2312" w:hAnsi="仿宋_GB2312" w:eastAsia="仿宋_GB2312" w:cs="仿宋_GB2312"/>
          <w:color w:val="auto"/>
          <w:sz w:val="32"/>
          <w:szCs w:val="32"/>
        </w:rPr>
        <w:t>服务对象满意度达</w:t>
      </w:r>
      <w:r>
        <w:rPr>
          <w:rFonts w:hint="eastAsia" w:ascii="仿宋_GB2312" w:hAnsi="仿宋_GB2312" w:eastAsia="仿宋_GB2312" w:cs="仿宋_GB2312"/>
          <w:color w:val="auto"/>
          <w:sz w:val="32"/>
          <w:szCs w:val="32"/>
          <w:lang w:val="en-US" w:eastAsia="zh-CN"/>
        </w:rPr>
        <w:t>80</w:t>
      </w:r>
      <w:r>
        <w:rPr>
          <w:rFonts w:hint="eastAsia" w:ascii="仿宋_GB2312" w:hAnsi="仿宋_GB2312" w:eastAsia="仿宋_GB2312" w:cs="仿宋_GB2312"/>
          <w:color w:val="auto"/>
          <w:sz w:val="32"/>
          <w:szCs w:val="32"/>
        </w:rPr>
        <w:t>%以上</w:t>
      </w:r>
      <w:r>
        <w:rPr>
          <w:rFonts w:hint="eastAsia" w:ascii="仿宋_GB2312" w:hAnsi="仿宋_GB2312" w:eastAsia="仿宋_GB2312" w:cs="仿宋_GB2312"/>
          <w:color w:val="auto"/>
          <w:sz w:val="32"/>
          <w:szCs w:val="32"/>
          <w:lang w:eastAsia="zh-CN"/>
        </w:rPr>
        <w:t>。</w:t>
      </w:r>
    </w:p>
    <w:p w14:paraId="1BBE6355">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4850C570">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w:t>
      </w:r>
      <w:r>
        <w:rPr>
          <w:rFonts w:hint="eastAsia" w:ascii="仿宋" w:hAnsi="仿宋" w:eastAsia="仿宋"/>
          <w:sz w:val="32"/>
          <w:szCs w:val="32"/>
          <w:lang w:val="en-US" w:eastAsia="zh-CN"/>
        </w:rPr>
        <w:t>我局总得分99分，评价等级为优秀。</w:t>
      </w:r>
    </w:p>
    <w:p w14:paraId="2BFAF868">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6B632109">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2D29FF48">
      <w:pPr>
        <w:ind w:firstLine="640" w:firstLineChars="200"/>
        <w:rPr>
          <w:rFonts w:hint="eastAsia" w:eastAsia="宋体"/>
          <w:lang w:eastAsia="zh-CN"/>
        </w:rPr>
      </w:pPr>
      <w:r>
        <w:rPr>
          <w:rFonts w:hint="eastAsia" w:ascii="仿宋" w:hAnsi="仿宋" w:eastAsia="仿宋"/>
          <w:sz w:val="32"/>
          <w:szCs w:val="32"/>
          <w:lang w:eastAsia="zh-CN"/>
        </w:rPr>
        <w:t>总体而言，我局在预算绩效管理方面虽已取得一定成效，但仍存在部分待解决的问题和提升空间。</w:t>
      </w:r>
      <w:r>
        <w:rPr>
          <w:rFonts w:hint="eastAsia" w:ascii="仿宋" w:hAnsi="仿宋" w:eastAsia="仿宋"/>
          <w:sz w:val="32"/>
          <w:szCs w:val="32"/>
          <w:lang w:val="en-US" w:eastAsia="zh-CN"/>
        </w:rPr>
        <w:t>具体表现为：一是评价指标体系尚需进一步优化；二是专业能力仍有提升空间。由于预算绩效管理工作缺乏系统培训，相关人员的预算绩效管理能力有待进一步增强。</w:t>
      </w:r>
    </w:p>
    <w:p w14:paraId="7E3AB6CB">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1BC36223">
      <w:pPr>
        <w:spacing w:line="560" w:lineRule="exact"/>
        <w:ind w:firstLine="640" w:firstLineChars="200"/>
        <w:rPr>
          <w:rFonts w:hint="eastAsia" w:ascii="仿宋" w:hAnsi="仿宋" w:eastAsia="仿宋"/>
          <w:color w:val="0000FF"/>
          <w:sz w:val="32"/>
          <w:szCs w:val="32"/>
        </w:rPr>
      </w:pPr>
      <w:r>
        <w:rPr>
          <w:rFonts w:hint="eastAsia" w:ascii="仿宋" w:hAnsi="仿宋" w:eastAsia="仿宋"/>
          <w:sz w:val="32"/>
          <w:szCs w:val="32"/>
          <w:lang w:val="en-US" w:eastAsia="zh-CN"/>
        </w:rPr>
        <w:t>我局下一步一是逐步扩大绩效管理范围。在绩效目标管理方面，推行单位整体支出绩效目标管理，并开展全面的支出评估工作；在项目绩效评估方面，逐步增加评估项目数量，提高评估项目涉及的支出占比。二是加强评价指标体系建设。建立指标动态更新机制，及时将未来几年新制定的指标纳入指标库，确保评价指标体系的持续更新与优化。三是强化培训与指导。通过集中学习、专题讲座、专项会议等形式，加大对绩效评价参与人员的培训力度，进一步统一思想认识，充实业务知识储备。</w:t>
      </w:r>
    </w:p>
    <w:p w14:paraId="4FF3CC1C">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6D66">
    <w:pPr>
      <w:pStyle w:val="4"/>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7096C65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498300A"/>
    <w:rsid w:val="07956271"/>
    <w:rsid w:val="09721397"/>
    <w:rsid w:val="0BB63BED"/>
    <w:rsid w:val="0EB97A43"/>
    <w:rsid w:val="0EBD2122"/>
    <w:rsid w:val="0F214EAE"/>
    <w:rsid w:val="11B71E6A"/>
    <w:rsid w:val="19CC2A90"/>
    <w:rsid w:val="1AAF0063"/>
    <w:rsid w:val="1BE140DE"/>
    <w:rsid w:val="1FE73CCD"/>
    <w:rsid w:val="220A0D41"/>
    <w:rsid w:val="248C197D"/>
    <w:rsid w:val="252959AF"/>
    <w:rsid w:val="277A6671"/>
    <w:rsid w:val="286B5DF4"/>
    <w:rsid w:val="292D35B7"/>
    <w:rsid w:val="2C863D35"/>
    <w:rsid w:val="31FA11AD"/>
    <w:rsid w:val="33EB6CFF"/>
    <w:rsid w:val="34D97170"/>
    <w:rsid w:val="35A12947"/>
    <w:rsid w:val="37387040"/>
    <w:rsid w:val="3B625C0A"/>
    <w:rsid w:val="3CEE1963"/>
    <w:rsid w:val="401D7D91"/>
    <w:rsid w:val="4C9C27FE"/>
    <w:rsid w:val="512260B4"/>
    <w:rsid w:val="52884709"/>
    <w:rsid w:val="52BD6ACB"/>
    <w:rsid w:val="55537534"/>
    <w:rsid w:val="561A74F1"/>
    <w:rsid w:val="597244E8"/>
    <w:rsid w:val="59AA682C"/>
    <w:rsid w:val="5C813E68"/>
    <w:rsid w:val="5D9D6018"/>
    <w:rsid w:val="5EB71C30"/>
    <w:rsid w:val="665130CD"/>
    <w:rsid w:val="66AF0CE5"/>
    <w:rsid w:val="6AC537CF"/>
    <w:rsid w:val="6BDA089C"/>
    <w:rsid w:val="6E5B14A6"/>
    <w:rsid w:val="711B255E"/>
    <w:rsid w:val="72276C94"/>
    <w:rsid w:val="768A64E7"/>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spacing w:line="360" w:lineRule="auto"/>
    </w:pPr>
    <w:rPr>
      <w:snapToGrid/>
      <w:kern w:val="2"/>
      <w:szCs w:val="20"/>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3532</Words>
  <Characters>3689</Characters>
  <Lines>4</Lines>
  <Paragraphs>1</Paragraphs>
  <TotalTime>6</TotalTime>
  <ScaleCrop>false</ScaleCrop>
  <LinksUpToDate>false</LinksUpToDate>
  <CharactersWithSpaces>3711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刘阳</cp:lastModifiedBy>
  <cp:lastPrinted>2026-04-28T01:33:00Z</cp:lastPrinted>
  <dcterms:modified xsi:type="dcterms:W3CDTF">2026-06-30T09:18:09Z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4A19074DC8414FE6B62EBFA35238C9D8</vt:lpwstr>
  </property>
  <property fmtid="{D5CDD505-2E9C-101B-9397-08002B2CF9AE}" pid="4" name="KSOTemplateDocerSaveRecord">
    <vt:lpwstr>eyJoZGlkIjoiNGQwMTcxMTU2MDMzNmYyMzQ0ZWU0YWEwNDg4ZWM5NGMiLCJ1c2VySWQiOiIxNjg4OTIxODE2In0=</vt:lpwstr>
  </property>
</Properties>
</file>