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DC3BE4">
      <w:pPr>
        <w:spacing w:line="900" w:lineRule="exact"/>
        <w:jc w:val="center"/>
        <w:rPr>
          <w:rFonts w:eastAsia="方正小标宋简体"/>
          <w:sz w:val="60"/>
          <w:szCs w:val="60"/>
        </w:rPr>
      </w:pPr>
    </w:p>
    <w:p w14:paraId="7D2D56EE">
      <w:pPr>
        <w:spacing w:line="800" w:lineRule="exact"/>
        <w:jc w:val="center"/>
        <w:rPr>
          <w:rFonts w:eastAsia="方正小标宋简体"/>
          <w:sz w:val="60"/>
          <w:szCs w:val="60"/>
        </w:rPr>
      </w:pPr>
    </w:p>
    <w:p w14:paraId="78F312B9">
      <w:pPr>
        <w:spacing w:line="900" w:lineRule="exact"/>
        <w:jc w:val="center"/>
        <w:rPr>
          <w:rFonts w:hAnsi="方正小标宋简体" w:eastAsia="方正小标宋简体"/>
          <w:spacing w:val="-11"/>
          <w:sz w:val="48"/>
          <w:szCs w:val="48"/>
        </w:rPr>
      </w:pPr>
      <w:r>
        <w:rPr>
          <w:rFonts w:hint="eastAsia" w:hAnsi="方正小标宋简体" w:eastAsia="方正小标宋简体" w:cs="方正小标宋简体"/>
          <w:spacing w:val="-11"/>
          <w:sz w:val="48"/>
          <w:szCs w:val="48"/>
        </w:rPr>
        <w:t>长安区</w:t>
      </w:r>
      <w:r>
        <w:rPr>
          <w:rFonts w:hAnsi="方正小标宋简体" w:eastAsia="方正小标宋简体"/>
          <w:spacing w:val="-11"/>
          <w:sz w:val="48"/>
          <w:szCs w:val="48"/>
        </w:rPr>
        <w:t>2024</w:t>
      </w:r>
      <w:r>
        <w:rPr>
          <w:rFonts w:hint="eastAsia" w:hAnsi="方正小标宋简体" w:eastAsia="方正小标宋简体" w:cs="方正小标宋简体"/>
          <w:spacing w:val="-11"/>
          <w:sz w:val="48"/>
          <w:szCs w:val="48"/>
        </w:rPr>
        <w:t>年国民经济和社会发展</w:t>
      </w:r>
    </w:p>
    <w:p w14:paraId="12067AFD">
      <w:pPr>
        <w:spacing w:line="900" w:lineRule="exact"/>
        <w:jc w:val="center"/>
        <w:rPr>
          <w:rFonts w:hAnsi="方正小标宋简体" w:eastAsia="方正小标宋简体"/>
          <w:spacing w:val="-11"/>
          <w:sz w:val="48"/>
          <w:szCs w:val="48"/>
        </w:rPr>
      </w:pPr>
      <w:r>
        <w:rPr>
          <w:rFonts w:hint="eastAsia" w:hAnsi="方正小标宋简体" w:eastAsia="方正小标宋简体" w:cs="方正小标宋简体"/>
          <w:spacing w:val="-11"/>
          <w:sz w:val="48"/>
          <w:szCs w:val="48"/>
        </w:rPr>
        <w:t>计划执行情况及</w:t>
      </w:r>
      <w:r>
        <w:rPr>
          <w:rFonts w:hAnsi="方正小标宋简体" w:eastAsia="方正小标宋简体"/>
          <w:spacing w:val="-11"/>
          <w:sz w:val="48"/>
          <w:szCs w:val="48"/>
        </w:rPr>
        <w:t>2025</w:t>
      </w:r>
      <w:r>
        <w:rPr>
          <w:rFonts w:hint="eastAsia" w:hAnsi="方正小标宋简体" w:eastAsia="方正小标宋简体" w:cs="方正小标宋简体"/>
          <w:spacing w:val="-11"/>
          <w:sz w:val="48"/>
          <w:szCs w:val="48"/>
        </w:rPr>
        <w:t>年国民经济和社会发展计划（草案）的报告</w:t>
      </w:r>
    </w:p>
    <w:p w14:paraId="10E78C0D">
      <w:pPr>
        <w:spacing w:line="800" w:lineRule="exact"/>
        <w:jc w:val="center"/>
        <w:rPr>
          <w:rFonts w:eastAsia="方正小标宋简体"/>
          <w:b/>
          <w:bCs/>
          <w:sz w:val="60"/>
          <w:szCs w:val="60"/>
        </w:rPr>
      </w:pPr>
    </w:p>
    <w:p w14:paraId="57844A47">
      <w:pPr>
        <w:jc w:val="center"/>
        <w:rPr>
          <w:rFonts w:eastAsia="楷体_GB2312"/>
        </w:rPr>
      </w:pPr>
      <w:r>
        <w:rPr>
          <w:rFonts w:eastAsia="楷体_GB2312"/>
          <w:sz w:val="30"/>
          <w:szCs w:val="30"/>
        </w:rPr>
        <w:t>——</w:t>
      </w:r>
      <w:r>
        <w:rPr>
          <w:rFonts w:eastAsia="楷体_GB2312"/>
          <w:spacing w:val="-11"/>
        </w:rPr>
        <w:t>2025</w:t>
      </w:r>
      <w:r>
        <w:rPr>
          <w:rFonts w:hint="eastAsia" w:hAnsi="楷体_GB2312" w:eastAsia="楷体_GB2312" w:cs="楷体_GB2312"/>
        </w:rPr>
        <w:t>年</w:t>
      </w:r>
      <w:r>
        <w:rPr>
          <w:rFonts w:eastAsia="楷体_GB2312"/>
          <w:spacing w:val="-11"/>
        </w:rPr>
        <w:t>1</w:t>
      </w:r>
      <w:r>
        <w:rPr>
          <w:rFonts w:hint="eastAsia" w:hAnsi="楷体_GB2312" w:eastAsia="楷体_GB2312" w:cs="楷体_GB2312"/>
        </w:rPr>
        <w:t>月</w:t>
      </w:r>
      <w:r>
        <w:rPr>
          <w:rFonts w:eastAsia="楷体_GB2312"/>
          <w:spacing w:val="-11"/>
        </w:rPr>
        <w:t>13</w:t>
      </w:r>
      <w:r>
        <w:rPr>
          <w:rFonts w:hint="eastAsia" w:hAnsi="楷体_GB2312" w:eastAsia="楷体_GB2312" w:cs="楷体_GB2312"/>
        </w:rPr>
        <w:t>日在石家庄市长安区</w:t>
      </w:r>
    </w:p>
    <w:p w14:paraId="42A6C8CD">
      <w:pPr>
        <w:jc w:val="center"/>
        <w:rPr>
          <w:rFonts w:eastAsia="楷体_GB2312"/>
        </w:rPr>
      </w:pPr>
      <w:r>
        <w:rPr>
          <w:rFonts w:hint="eastAsia" w:hAnsi="楷体_GB2312" w:eastAsia="楷体_GB2312" w:cs="楷体_GB2312"/>
        </w:rPr>
        <w:t>第十七届人民代表大会第六次会议上</w:t>
      </w:r>
    </w:p>
    <w:p w14:paraId="6BFE4848">
      <w:pPr>
        <w:jc w:val="center"/>
        <w:rPr>
          <w:rFonts w:eastAsia="楷体_GB2312"/>
        </w:rPr>
      </w:pPr>
    </w:p>
    <w:p w14:paraId="44CC527D">
      <w:pPr>
        <w:jc w:val="center"/>
        <w:rPr>
          <w:rFonts w:eastAsia="楷体_GB2312"/>
        </w:rPr>
      </w:pPr>
      <w:r>
        <w:rPr>
          <w:rFonts w:hint="eastAsia" w:hAnsi="楷体_GB2312" w:eastAsia="楷体_GB2312" w:cs="楷体_GB2312"/>
        </w:rPr>
        <w:t>长安区发展和改革局局长</w:t>
      </w:r>
      <w:r>
        <w:rPr>
          <w:rFonts w:eastAsia="楷体_GB2312"/>
        </w:rPr>
        <w:t xml:space="preserve"> </w:t>
      </w:r>
      <w:r>
        <w:rPr>
          <w:rFonts w:hint="eastAsia" w:hAnsi="楷体_GB2312" w:eastAsia="楷体_GB2312" w:cs="楷体_GB2312"/>
        </w:rPr>
        <w:t>杨树平</w:t>
      </w:r>
    </w:p>
    <w:p w14:paraId="01CADE6E">
      <w:pPr>
        <w:spacing w:line="570" w:lineRule="exact"/>
        <w:jc w:val="center"/>
        <w:rPr>
          <w:rFonts w:eastAsia="楷体_GB2312"/>
        </w:rPr>
      </w:pPr>
    </w:p>
    <w:p w14:paraId="714661FA">
      <w:pPr>
        <w:spacing w:line="570" w:lineRule="exact"/>
        <w:jc w:val="center"/>
        <w:rPr>
          <w:rFonts w:eastAsia="楷体_GB2312"/>
        </w:rPr>
      </w:pPr>
    </w:p>
    <w:p w14:paraId="138D114C">
      <w:pPr>
        <w:spacing w:line="570" w:lineRule="exact"/>
        <w:rPr>
          <w:b/>
          <w:bCs/>
        </w:rPr>
      </w:pPr>
    </w:p>
    <w:p w14:paraId="690AA719">
      <w:pPr>
        <w:pStyle w:val="7"/>
        <w:rPr>
          <w:b/>
          <w:bCs/>
        </w:rPr>
      </w:pPr>
    </w:p>
    <w:p w14:paraId="58FE7FFC">
      <w:pPr>
        <w:rPr>
          <w:b/>
          <w:bCs/>
        </w:rPr>
      </w:pPr>
    </w:p>
    <w:p w14:paraId="500E037F">
      <w:pPr>
        <w:pStyle w:val="7"/>
        <w:spacing w:line="700" w:lineRule="exact"/>
        <w:jc w:val="center"/>
        <w:rPr>
          <w:rFonts w:eastAsia="方正小标宋简体"/>
          <w:color w:val="000000"/>
          <w:sz w:val="44"/>
          <w:szCs w:val="44"/>
        </w:rPr>
        <w:sectPr>
          <w:headerReference r:id="rId3" w:type="default"/>
          <w:footerReference r:id="rId4" w:type="default"/>
          <w:footerReference r:id="rId5" w:type="even"/>
          <w:pgSz w:w="11906" w:h="16838"/>
          <w:pgMar w:top="2098" w:right="1474" w:bottom="1984" w:left="1587" w:header="624" w:footer="1474" w:gutter="0"/>
          <w:pgNumType w:start="0"/>
          <w:cols w:space="720" w:num="1"/>
          <w:titlePg/>
          <w:docGrid w:type="linesAndChars" w:linePitch="577" w:charSpace="-1675"/>
        </w:sectPr>
      </w:pPr>
    </w:p>
    <w:p w14:paraId="556A4E02">
      <w:pPr>
        <w:pStyle w:val="8"/>
        <w:spacing w:line="570" w:lineRule="exact"/>
        <w:rPr>
          <w:rFonts w:cs="Times New Roman"/>
        </w:rPr>
      </w:pPr>
    </w:p>
    <w:p w14:paraId="0C4BB06B">
      <w:pPr>
        <w:pStyle w:val="7"/>
        <w:spacing w:line="570" w:lineRule="exact"/>
        <w:jc w:val="center"/>
        <w:rPr>
          <w:rFonts w:eastAsia="方正小标宋简体"/>
          <w:color w:val="000000"/>
          <w:sz w:val="44"/>
          <w:szCs w:val="44"/>
        </w:rPr>
      </w:pPr>
      <w:r>
        <w:rPr>
          <w:rFonts w:hint="eastAsia" w:eastAsia="方正小标宋简体" w:cs="方正小标宋简体"/>
          <w:color w:val="000000"/>
          <w:sz w:val="44"/>
          <w:szCs w:val="44"/>
        </w:rPr>
        <w:t>长安区</w:t>
      </w:r>
      <w:r>
        <w:rPr>
          <w:rFonts w:eastAsia="方正小标宋简体"/>
          <w:color w:val="000000"/>
          <w:sz w:val="44"/>
          <w:szCs w:val="44"/>
        </w:rPr>
        <w:t>2024</w:t>
      </w:r>
      <w:r>
        <w:rPr>
          <w:rFonts w:hint="eastAsia" w:eastAsia="方正小标宋简体" w:cs="方正小标宋简体"/>
          <w:color w:val="000000"/>
          <w:sz w:val="44"/>
          <w:szCs w:val="44"/>
        </w:rPr>
        <w:t>年国民经济和社会发展</w:t>
      </w:r>
    </w:p>
    <w:p w14:paraId="365BDF3E">
      <w:pPr>
        <w:pStyle w:val="7"/>
        <w:spacing w:line="570" w:lineRule="exact"/>
        <w:jc w:val="center"/>
        <w:rPr>
          <w:rFonts w:eastAsia="方正小标宋简体"/>
          <w:color w:val="000000"/>
          <w:sz w:val="44"/>
          <w:szCs w:val="44"/>
        </w:rPr>
      </w:pPr>
      <w:r>
        <w:rPr>
          <w:rFonts w:hint="eastAsia" w:eastAsia="方正小标宋简体" w:cs="方正小标宋简体"/>
          <w:color w:val="000000"/>
          <w:sz w:val="44"/>
          <w:szCs w:val="44"/>
        </w:rPr>
        <w:t>计划执行情况及</w:t>
      </w:r>
      <w:r>
        <w:rPr>
          <w:rFonts w:eastAsia="方正小标宋简体"/>
          <w:color w:val="000000"/>
          <w:sz w:val="44"/>
          <w:szCs w:val="44"/>
        </w:rPr>
        <w:t>2025</w:t>
      </w:r>
      <w:r>
        <w:rPr>
          <w:rFonts w:hint="eastAsia" w:eastAsia="方正小标宋简体" w:cs="方正小标宋简体"/>
          <w:color w:val="000000"/>
          <w:sz w:val="44"/>
          <w:szCs w:val="44"/>
        </w:rPr>
        <w:t>年国民经济和社会发展计划（草案）的报告</w:t>
      </w:r>
    </w:p>
    <w:p w14:paraId="26274E1D">
      <w:pPr>
        <w:spacing w:beforeLines="20" w:line="570" w:lineRule="exact"/>
        <w:jc w:val="center"/>
        <w:rPr>
          <w:rFonts w:eastAsia="楷体_GB2312"/>
          <w:color w:val="000000"/>
        </w:rPr>
      </w:pPr>
      <w:r>
        <w:rPr>
          <w:rFonts w:eastAsia="楷体_GB2312"/>
          <w:sz w:val="30"/>
          <w:szCs w:val="30"/>
        </w:rPr>
        <w:t>——</w:t>
      </w:r>
      <w:r>
        <w:rPr>
          <w:rFonts w:eastAsia="楷体_GB2312"/>
          <w:color w:val="000000"/>
        </w:rPr>
        <w:t>2025</w:t>
      </w:r>
      <w:r>
        <w:rPr>
          <w:rFonts w:hint="eastAsia" w:eastAsia="楷体_GB2312" w:cs="楷体_GB2312"/>
          <w:color w:val="000000"/>
        </w:rPr>
        <w:t>年</w:t>
      </w:r>
      <w:r>
        <w:rPr>
          <w:rFonts w:eastAsia="楷体_GB2312"/>
          <w:color w:val="000000"/>
        </w:rPr>
        <w:t>1</w:t>
      </w:r>
      <w:r>
        <w:rPr>
          <w:rFonts w:hint="eastAsia" w:eastAsia="楷体_GB2312" w:cs="楷体_GB2312"/>
          <w:color w:val="000000"/>
        </w:rPr>
        <w:t>月</w:t>
      </w:r>
      <w:r>
        <w:rPr>
          <w:rFonts w:eastAsia="楷体_GB2312"/>
          <w:color w:val="000000"/>
        </w:rPr>
        <w:t>13</w:t>
      </w:r>
      <w:r>
        <w:rPr>
          <w:rFonts w:hint="eastAsia" w:eastAsia="楷体_GB2312" w:cs="楷体_GB2312"/>
          <w:color w:val="000000"/>
        </w:rPr>
        <w:t>日在石家庄市长安区</w:t>
      </w:r>
    </w:p>
    <w:p w14:paraId="3214DF4F">
      <w:pPr>
        <w:spacing w:line="570" w:lineRule="exact"/>
        <w:jc w:val="center"/>
        <w:rPr>
          <w:rFonts w:eastAsia="楷体_GB2312"/>
          <w:color w:val="000000"/>
        </w:rPr>
      </w:pPr>
      <w:r>
        <w:rPr>
          <w:rFonts w:hint="eastAsia" w:eastAsia="楷体_GB2312" w:cs="楷体_GB2312"/>
          <w:color w:val="000000"/>
        </w:rPr>
        <w:t>第十七届人民代表大会第六次会议上</w:t>
      </w:r>
    </w:p>
    <w:p w14:paraId="3A1B5B11">
      <w:pPr>
        <w:spacing w:line="570" w:lineRule="exact"/>
        <w:jc w:val="center"/>
        <w:rPr>
          <w:rFonts w:eastAsia="楷体_GB2312"/>
          <w:color w:val="000000"/>
        </w:rPr>
      </w:pPr>
    </w:p>
    <w:p w14:paraId="3CFA8FC0">
      <w:pPr>
        <w:spacing w:line="570" w:lineRule="exact"/>
        <w:jc w:val="center"/>
        <w:rPr>
          <w:rFonts w:eastAsia="楷体_GB2312"/>
          <w:color w:val="000000"/>
        </w:rPr>
      </w:pPr>
      <w:r>
        <w:rPr>
          <w:rFonts w:hint="eastAsia" w:eastAsia="楷体_GB2312" w:cs="楷体_GB2312"/>
          <w:color w:val="000000"/>
        </w:rPr>
        <w:t>长安区发展和改革局局长</w:t>
      </w:r>
      <w:r>
        <w:rPr>
          <w:rFonts w:eastAsia="楷体_GB2312"/>
          <w:color w:val="000000"/>
        </w:rPr>
        <w:t xml:space="preserve"> </w:t>
      </w:r>
      <w:r>
        <w:rPr>
          <w:rFonts w:hint="eastAsia" w:eastAsia="楷体_GB2312" w:cs="楷体_GB2312"/>
          <w:color w:val="000000"/>
        </w:rPr>
        <w:t>杨树平</w:t>
      </w:r>
    </w:p>
    <w:p w14:paraId="4E2AD00F">
      <w:pPr>
        <w:spacing w:line="570" w:lineRule="exact"/>
        <w:jc w:val="center"/>
        <w:rPr>
          <w:rFonts w:eastAsia="楷体_GB2312"/>
          <w:color w:val="000000"/>
        </w:rPr>
      </w:pPr>
    </w:p>
    <w:p w14:paraId="60637969">
      <w:pPr>
        <w:spacing w:line="570" w:lineRule="exact"/>
        <w:jc w:val="left"/>
        <w:rPr>
          <w:color w:val="000000"/>
        </w:rPr>
      </w:pPr>
      <w:r>
        <w:rPr>
          <w:rFonts w:hint="eastAsia" w:cs="仿宋_GB2312"/>
          <w:color w:val="000000"/>
        </w:rPr>
        <w:t>各位代表：</w:t>
      </w:r>
    </w:p>
    <w:p w14:paraId="4889CB7A">
      <w:pPr>
        <w:spacing w:line="570" w:lineRule="exact"/>
        <w:ind w:firstLine="624" w:firstLineChars="200"/>
        <w:rPr>
          <w:color w:val="000000"/>
        </w:rPr>
      </w:pPr>
      <w:r>
        <w:rPr>
          <w:rFonts w:hint="eastAsia" w:cs="仿宋_GB2312"/>
          <w:color w:val="000000"/>
        </w:rPr>
        <w:t>我受区人民政府委托，向大会报</w:t>
      </w:r>
      <w:r>
        <w:rPr>
          <w:rFonts w:hint="eastAsia" w:cs="仿宋_GB2312"/>
          <w:color w:val="000000"/>
          <w:spacing w:val="-12"/>
        </w:rPr>
        <w:t>告</w:t>
      </w:r>
      <w:r>
        <w:rPr>
          <w:color w:val="000000"/>
          <w:spacing w:val="-12"/>
        </w:rPr>
        <w:t>2024</w:t>
      </w:r>
      <w:r>
        <w:rPr>
          <w:rFonts w:hint="eastAsia" w:cs="仿宋_GB2312"/>
          <w:color w:val="000000"/>
          <w:spacing w:val="-12"/>
        </w:rPr>
        <w:t>年</w:t>
      </w:r>
      <w:r>
        <w:rPr>
          <w:rFonts w:hint="eastAsia" w:cs="仿宋_GB2312"/>
          <w:color w:val="000000"/>
        </w:rPr>
        <w:t>国民经济和社会发展计划执行情况及</w:t>
      </w:r>
      <w:r>
        <w:rPr>
          <w:color w:val="000000"/>
        </w:rPr>
        <w:t>2025</w:t>
      </w:r>
      <w:r>
        <w:rPr>
          <w:rFonts w:hint="eastAsia" w:cs="仿宋_GB2312"/>
          <w:color w:val="000000"/>
        </w:rPr>
        <w:t>年国民经济和社会发展计划（草案），请予审议，并请区政协各位委员和其他列席人员提出意见。</w:t>
      </w:r>
    </w:p>
    <w:p w14:paraId="4B6EECF3">
      <w:pPr>
        <w:spacing w:line="570" w:lineRule="exact"/>
        <w:ind w:firstLine="624" w:firstLineChars="200"/>
        <w:rPr>
          <w:rFonts w:eastAsia="黑体"/>
          <w:color w:val="000000"/>
        </w:rPr>
      </w:pPr>
      <w:r>
        <w:rPr>
          <w:rFonts w:hint="eastAsia" w:eastAsia="黑体" w:cs="黑体"/>
          <w:color w:val="000000"/>
        </w:rPr>
        <w:t>一、</w:t>
      </w:r>
      <w:r>
        <w:rPr>
          <w:rFonts w:eastAsia="黑体"/>
          <w:color w:val="000000"/>
        </w:rPr>
        <w:t>2024</w:t>
      </w:r>
      <w:r>
        <w:rPr>
          <w:rFonts w:hint="eastAsia" w:eastAsia="黑体" w:cs="黑体"/>
          <w:color w:val="000000"/>
        </w:rPr>
        <w:t>年国民经济和社会发展计划执行情况</w:t>
      </w:r>
    </w:p>
    <w:p w14:paraId="7D49F4B0">
      <w:pPr>
        <w:spacing w:line="570" w:lineRule="exact"/>
        <w:ind w:firstLine="624" w:firstLineChars="200"/>
        <w:rPr>
          <w:color w:val="000000"/>
        </w:rPr>
      </w:pPr>
      <w:r>
        <w:rPr>
          <w:color w:val="000000"/>
        </w:rPr>
        <w:t>2024</w:t>
      </w:r>
      <w:r>
        <w:rPr>
          <w:rFonts w:hint="eastAsia" w:cs="仿宋_GB2312"/>
          <w:color w:val="000000"/>
        </w:rPr>
        <w:t>年，全区上下以习近平新时代中国特色社会主义思想为指导，在市委、市政府和区委、区政府的坚强领导下，在区人大和区政协的监督支持下，全面贯彻党的二十大和二十届二中、三中全会精神，认真落实中央经济工作会议部署、国家和省市稳经济系列政策措施，解放思想、奋发进取，全区经济社会发展呈现稳中向好的良好态势。</w:t>
      </w:r>
    </w:p>
    <w:p w14:paraId="402D8160">
      <w:pPr>
        <w:pStyle w:val="13"/>
        <w:widowControl/>
        <w:spacing w:line="570" w:lineRule="exact"/>
        <w:ind w:firstLine="624" w:firstLineChars="200"/>
        <w:rPr>
          <w:rFonts w:eastAsia="楷体_GB2312"/>
          <w:color w:val="000000"/>
          <w:sz w:val="32"/>
          <w:szCs w:val="32"/>
        </w:rPr>
      </w:pPr>
      <w:r>
        <w:rPr>
          <w:rFonts w:hint="eastAsia" w:eastAsia="楷体_GB2312" w:cs="楷体_GB2312"/>
          <w:color w:val="000000"/>
          <w:sz w:val="32"/>
          <w:szCs w:val="32"/>
        </w:rPr>
        <w:t>（一）坚持稳中求进，发展质效持续提升</w:t>
      </w:r>
    </w:p>
    <w:p w14:paraId="1F51DE83">
      <w:pPr>
        <w:spacing w:line="570" w:lineRule="exact"/>
        <w:ind w:firstLine="624" w:firstLineChars="200"/>
        <w:rPr>
          <w:rStyle w:val="17"/>
          <w:color w:val="000000"/>
        </w:rPr>
      </w:pPr>
      <w:r>
        <w:rPr>
          <w:rStyle w:val="17"/>
          <w:rFonts w:hint="eastAsia" w:cs="仿宋_GB2312"/>
          <w:color w:val="000000"/>
        </w:rPr>
        <w:t>经济运行稳中向好。</w:t>
      </w:r>
      <w:r>
        <w:rPr>
          <w:rFonts w:hint="eastAsia" w:cs="仿宋_GB2312"/>
        </w:rPr>
        <w:t>预计全年地区生产总值完成</w:t>
      </w:r>
      <w:r>
        <w:t>770</w:t>
      </w:r>
      <w:r>
        <w:rPr>
          <w:rFonts w:hint="eastAsia" w:cs="仿宋_GB2312"/>
        </w:rPr>
        <w:t>亿元，同比增长</w:t>
      </w:r>
      <w:r>
        <w:t>5%</w:t>
      </w:r>
      <w:r>
        <w:rPr>
          <w:rFonts w:hint="eastAsia" w:cs="仿宋_GB2312"/>
        </w:rPr>
        <w:t>；社会消费品零售总额完成</w:t>
      </w:r>
      <w:r>
        <w:t>462</w:t>
      </w:r>
      <w:r>
        <w:rPr>
          <w:rFonts w:hint="eastAsia" w:cs="仿宋_GB2312"/>
        </w:rPr>
        <w:t>亿元，</w:t>
      </w:r>
      <w:bookmarkStart w:id="0" w:name="OLE_LINK3"/>
      <w:r>
        <w:rPr>
          <w:rFonts w:hint="eastAsia" w:cs="仿宋_GB2312"/>
        </w:rPr>
        <w:t>同比增长</w:t>
      </w:r>
      <w:bookmarkEnd w:id="0"/>
      <w:r>
        <w:t>6.5%</w:t>
      </w:r>
      <w:r>
        <w:rPr>
          <w:rFonts w:hint="eastAsia" w:cs="仿宋_GB2312"/>
        </w:rPr>
        <w:t>；固定资产投资完成</w:t>
      </w:r>
      <w:r>
        <w:t>300</w:t>
      </w:r>
      <w:r>
        <w:rPr>
          <w:rFonts w:hint="eastAsia" w:cs="仿宋_GB2312"/>
        </w:rPr>
        <w:t>亿元，同比增长</w:t>
      </w:r>
      <w:r>
        <w:t>10%</w:t>
      </w:r>
      <w:r>
        <w:rPr>
          <w:rFonts w:hint="eastAsia" w:cs="仿宋_GB2312"/>
        </w:rPr>
        <w:t>；规上工业增加值完成</w:t>
      </w:r>
      <w:r>
        <w:t>32</w:t>
      </w:r>
      <w:r>
        <w:rPr>
          <w:rFonts w:hint="eastAsia" w:cs="仿宋_GB2312"/>
        </w:rPr>
        <w:t>亿元，同比增长</w:t>
      </w:r>
      <w:r>
        <w:t>4%</w:t>
      </w:r>
      <w:r>
        <w:rPr>
          <w:rFonts w:hint="eastAsia" w:cs="仿宋_GB2312"/>
        </w:rPr>
        <w:t>；居民人均可支配收入完成</w:t>
      </w:r>
      <w:r>
        <w:t>56207</w:t>
      </w:r>
      <w:r>
        <w:rPr>
          <w:rFonts w:hint="eastAsia" w:cs="仿宋_GB2312"/>
        </w:rPr>
        <w:t>元，同比增长</w:t>
      </w:r>
      <w:r>
        <w:t>6%</w:t>
      </w:r>
      <w:r>
        <w:rPr>
          <w:rFonts w:hint="eastAsia" w:cs="仿宋_GB2312"/>
        </w:rPr>
        <w:t>。一般公共预算收入完成</w:t>
      </w:r>
      <w:r>
        <w:t>68.2</w:t>
      </w:r>
      <w:r>
        <w:rPr>
          <w:rFonts w:hint="eastAsia" w:cs="仿宋_GB2312"/>
        </w:rPr>
        <w:t>亿元。</w:t>
      </w:r>
      <w:r>
        <w:rPr>
          <w:color w:val="000000"/>
        </w:rPr>
        <w:t>2024</w:t>
      </w:r>
      <w:r>
        <w:rPr>
          <w:rFonts w:hint="eastAsia" w:cs="仿宋_GB2312"/>
          <w:color w:val="000000"/>
        </w:rPr>
        <w:t>年荣获“全国综合实力百强区”第</w:t>
      </w:r>
      <w:r>
        <w:rPr>
          <w:color w:val="000000"/>
        </w:rPr>
        <w:t>61</w:t>
      </w:r>
      <w:r>
        <w:rPr>
          <w:rFonts w:hint="eastAsia" w:cs="仿宋_GB2312"/>
          <w:color w:val="000000"/>
        </w:rPr>
        <w:t>位、“全国新型城镇化质量百强区”第</w:t>
      </w:r>
      <w:r>
        <w:rPr>
          <w:color w:val="000000"/>
        </w:rPr>
        <w:t>58</w:t>
      </w:r>
      <w:r>
        <w:rPr>
          <w:rFonts w:hint="eastAsia" w:cs="仿宋_GB2312"/>
          <w:color w:val="000000"/>
        </w:rPr>
        <w:t>位、“全国科技创新百强区”第</w:t>
      </w:r>
      <w:r>
        <w:rPr>
          <w:color w:val="000000"/>
        </w:rPr>
        <w:t>68</w:t>
      </w:r>
      <w:r>
        <w:rPr>
          <w:rFonts w:hint="eastAsia" w:cs="仿宋_GB2312"/>
          <w:color w:val="000000"/>
        </w:rPr>
        <w:t>位。</w:t>
      </w:r>
    </w:p>
    <w:p w14:paraId="4CE96911">
      <w:pPr>
        <w:spacing w:line="570" w:lineRule="exact"/>
        <w:ind w:firstLine="640"/>
        <w:rPr>
          <w:color w:val="000000"/>
        </w:rPr>
      </w:pPr>
      <w:r>
        <w:rPr>
          <w:rFonts w:hint="eastAsia" w:cs="仿宋_GB2312"/>
          <w:b/>
          <w:bCs/>
          <w:color w:val="000000"/>
        </w:rPr>
        <w:t>有效投资量稳质升。</w:t>
      </w:r>
      <w:r>
        <w:rPr>
          <w:rFonts w:hint="eastAsia" w:cs="仿宋_GB2312"/>
          <w:color w:val="000000"/>
        </w:rPr>
        <w:t>坚持把项目建设作为拉动经济发展的主要引擎，围绕</w:t>
      </w:r>
      <w:r>
        <w:rPr>
          <w:color w:val="000000"/>
        </w:rPr>
        <w:t>“</w:t>
      </w:r>
      <w:r>
        <w:rPr>
          <w:rFonts w:hint="eastAsia" w:cs="仿宋_GB2312"/>
          <w:color w:val="000000"/>
        </w:rPr>
        <w:t>两区三带六支撑</w:t>
      </w:r>
      <w:r>
        <w:rPr>
          <w:color w:val="000000"/>
        </w:rPr>
        <w:t>”</w:t>
      </w:r>
      <w:r>
        <w:rPr>
          <w:rFonts w:hint="eastAsia" w:cs="仿宋_GB2312"/>
          <w:color w:val="000000"/>
        </w:rPr>
        <w:t>发展格局，全力以赴扩投资增动能。全年实施项目</w:t>
      </w:r>
      <w:r>
        <w:rPr>
          <w:color w:val="000000"/>
        </w:rPr>
        <w:t>209</w:t>
      </w:r>
      <w:r>
        <w:rPr>
          <w:rFonts w:hint="eastAsia" w:cs="仿宋_GB2312"/>
          <w:color w:val="000000"/>
        </w:rPr>
        <w:t>个，总投资</w:t>
      </w:r>
      <w:r>
        <w:rPr>
          <w:color w:val="000000"/>
        </w:rPr>
        <w:t>1889</w:t>
      </w:r>
      <w:r>
        <w:rPr>
          <w:rFonts w:hint="eastAsia" w:cs="仿宋_GB2312"/>
          <w:color w:val="000000"/>
        </w:rPr>
        <w:t>亿元；省市重点项目、集中开工项目、</w:t>
      </w:r>
      <w:r>
        <w:rPr>
          <w:color w:val="000000"/>
        </w:rPr>
        <w:t>“</w:t>
      </w:r>
      <w:r>
        <w:rPr>
          <w:rFonts w:hint="eastAsia" w:cs="仿宋_GB2312"/>
          <w:color w:val="000000"/>
        </w:rPr>
        <w:t>百日攻坚</w:t>
      </w:r>
      <w:r>
        <w:rPr>
          <w:color w:val="000000"/>
        </w:rPr>
        <w:t>”</w:t>
      </w:r>
      <w:r>
        <w:rPr>
          <w:rFonts w:hint="eastAsia" w:cs="仿宋_GB2312"/>
          <w:color w:val="000000"/>
        </w:rPr>
        <w:t>项目分别完成投资</w:t>
      </w:r>
      <w:r>
        <w:rPr>
          <w:color w:val="000000"/>
        </w:rPr>
        <w:t>50</w:t>
      </w:r>
      <w:r>
        <w:rPr>
          <w:rFonts w:hint="eastAsia" w:cs="仿宋_GB2312"/>
          <w:color w:val="000000"/>
        </w:rPr>
        <w:t>亿元、</w:t>
      </w:r>
      <w:r>
        <w:rPr>
          <w:color w:val="000000"/>
        </w:rPr>
        <w:t>14.5</w:t>
      </w:r>
      <w:r>
        <w:rPr>
          <w:rFonts w:hint="eastAsia" w:cs="仿宋_GB2312"/>
          <w:color w:val="000000"/>
        </w:rPr>
        <w:t>亿元、</w:t>
      </w:r>
      <w:r>
        <w:rPr>
          <w:color w:val="000000"/>
        </w:rPr>
        <w:t>14</w:t>
      </w:r>
      <w:r>
        <w:rPr>
          <w:rFonts w:hint="eastAsia" w:cs="仿宋_GB2312"/>
          <w:color w:val="000000"/>
        </w:rPr>
        <w:t>亿元，均超额完成年度目标任务。申报中央预算内投资、超长期特别国债、地方政府专项债项目</w:t>
      </w:r>
      <w:r>
        <w:rPr>
          <w:color w:val="000000"/>
        </w:rPr>
        <w:t>9</w:t>
      </w:r>
      <w:r>
        <w:rPr>
          <w:rFonts w:hint="eastAsia" w:cs="仿宋_GB2312"/>
          <w:color w:val="000000"/>
        </w:rPr>
        <w:t>个，落实资金</w:t>
      </w:r>
      <w:r>
        <w:rPr>
          <w:color w:val="000000"/>
        </w:rPr>
        <w:t>8.6</w:t>
      </w:r>
      <w:r>
        <w:rPr>
          <w:rFonts w:hint="eastAsia" w:cs="仿宋_GB2312"/>
          <w:color w:val="000000"/>
        </w:rPr>
        <w:t>亿元。全年储备数字金融产业园、金地威新国际科创园等省市重点前期项目</w:t>
      </w:r>
      <w:r>
        <w:rPr>
          <w:color w:val="000000"/>
        </w:rPr>
        <w:t>17</w:t>
      </w:r>
      <w:r>
        <w:rPr>
          <w:rFonts w:hint="eastAsia" w:cs="仿宋_GB2312"/>
          <w:color w:val="000000"/>
        </w:rPr>
        <w:t>个，总投资</w:t>
      </w:r>
      <w:r>
        <w:rPr>
          <w:color w:val="000000"/>
        </w:rPr>
        <w:t>141.7</w:t>
      </w:r>
      <w:r>
        <w:rPr>
          <w:rFonts w:hint="eastAsia" w:cs="仿宋_GB2312"/>
          <w:color w:val="000000"/>
        </w:rPr>
        <w:t>亿元。</w:t>
      </w:r>
    </w:p>
    <w:p w14:paraId="4D60CD3B">
      <w:pPr>
        <w:spacing w:line="570" w:lineRule="exact"/>
        <w:ind w:firstLine="640"/>
        <w:rPr>
          <w:color w:val="000000"/>
        </w:rPr>
      </w:pPr>
      <w:r>
        <w:rPr>
          <w:rFonts w:hint="eastAsia" w:cs="仿宋_GB2312"/>
          <w:b/>
          <w:bCs/>
          <w:color w:val="000000"/>
          <w:lang w:val="zh-TW"/>
        </w:rPr>
        <w:t>消费活力持续释放。</w:t>
      </w:r>
      <w:r>
        <w:rPr>
          <w:rFonts w:hint="eastAsia" w:cs="仿宋_GB2312"/>
          <w:color w:val="000000"/>
          <w:lang w:val="zh-TW"/>
        </w:rPr>
        <w:t>充分抓好</w:t>
      </w:r>
      <w:r>
        <w:rPr>
          <w:color w:val="000000"/>
          <w:lang w:val="zh-TW"/>
        </w:rPr>
        <w:t>“</w:t>
      </w:r>
      <w:r>
        <w:rPr>
          <w:rFonts w:hint="eastAsia" w:cs="仿宋_GB2312"/>
          <w:color w:val="000000"/>
          <w:lang w:val="zh-TW"/>
        </w:rPr>
        <w:t>国货正当时</w:t>
      </w:r>
      <w:r>
        <w:rPr>
          <w:color w:val="000000"/>
          <w:lang w:val="zh-TW"/>
        </w:rPr>
        <w:t>”</w:t>
      </w:r>
      <w:r>
        <w:rPr>
          <w:rFonts w:hint="eastAsia" w:cs="仿宋_GB2312"/>
          <w:color w:val="000000"/>
        </w:rPr>
        <w:t>和智能家居换代的</w:t>
      </w:r>
      <w:r>
        <w:rPr>
          <w:rFonts w:hint="eastAsia" w:cs="仿宋_GB2312"/>
          <w:color w:val="000000"/>
          <w:lang w:val="zh-TW"/>
        </w:rPr>
        <w:t>消费热潮</w:t>
      </w:r>
      <w:r>
        <w:rPr>
          <w:rFonts w:hint="eastAsia" w:cs="仿宋_GB2312"/>
          <w:color w:val="000000"/>
        </w:rPr>
        <w:t>，通过</w:t>
      </w:r>
      <w:r>
        <w:rPr>
          <w:color w:val="000000"/>
        </w:rPr>
        <w:t>“</w:t>
      </w:r>
      <w:r>
        <w:rPr>
          <w:rFonts w:hint="eastAsia" w:cs="仿宋_GB2312"/>
          <w:color w:val="000000"/>
        </w:rPr>
        <w:t>政府搭台、企业唱戏</w:t>
      </w:r>
      <w:r>
        <w:rPr>
          <w:color w:val="000000"/>
        </w:rPr>
        <w:t>”</w:t>
      </w:r>
      <w:r>
        <w:rPr>
          <w:rFonts w:hint="eastAsia" w:cs="仿宋_GB2312"/>
          <w:color w:val="000000"/>
        </w:rPr>
        <w:t>的模式，先后开展各种促消费活动</w:t>
      </w:r>
      <w:r>
        <w:rPr>
          <w:color w:val="000000"/>
        </w:rPr>
        <w:t>8</w:t>
      </w:r>
      <w:r>
        <w:rPr>
          <w:rFonts w:hint="eastAsia" w:cs="仿宋_GB2312"/>
          <w:color w:val="000000"/>
        </w:rPr>
        <w:t>次，投入促销资</w:t>
      </w:r>
      <w:r>
        <w:rPr>
          <w:rFonts w:hint="eastAsia" w:cs="仿宋_GB2312"/>
          <w:color w:val="000000"/>
          <w:spacing w:val="-10"/>
        </w:rPr>
        <w:t>金</w:t>
      </w:r>
      <w:r>
        <w:rPr>
          <w:color w:val="000000"/>
          <w:spacing w:val="-10"/>
        </w:rPr>
        <w:t>2600</w:t>
      </w:r>
      <w:r>
        <w:rPr>
          <w:rFonts w:hint="eastAsia" w:cs="仿宋_GB2312"/>
          <w:color w:val="000000"/>
          <w:spacing w:val="-10"/>
        </w:rPr>
        <w:t>万</w:t>
      </w:r>
      <w:r>
        <w:rPr>
          <w:rFonts w:hint="eastAsia" w:cs="仿宋_GB2312"/>
          <w:color w:val="000000"/>
        </w:rPr>
        <w:t>元，拉动消费收入超</w:t>
      </w:r>
      <w:r>
        <w:rPr>
          <w:color w:val="000000"/>
        </w:rPr>
        <w:t>10</w:t>
      </w:r>
      <w:r>
        <w:rPr>
          <w:rFonts w:hint="eastAsia" w:cs="仿宋_GB2312"/>
          <w:color w:val="000000"/>
        </w:rPr>
        <w:t>亿元。瞄准二环外居民消费需求，积极打造</w:t>
      </w:r>
      <w:r>
        <w:rPr>
          <w:color w:val="000000"/>
        </w:rPr>
        <w:t>“</w:t>
      </w:r>
      <w:r>
        <w:rPr>
          <w:rFonts w:hint="eastAsia" w:cs="仿宋_GB2312"/>
          <w:color w:val="000000"/>
        </w:rPr>
        <w:t>二环</w:t>
      </w:r>
      <w:r>
        <w:rPr>
          <w:color w:val="000000"/>
        </w:rPr>
        <w:t>+”</w:t>
      </w:r>
      <w:r>
        <w:rPr>
          <w:rFonts w:hint="eastAsia" w:cs="仿宋_GB2312"/>
          <w:color w:val="000000"/>
        </w:rPr>
        <w:t>消费新模式，布局</w:t>
      </w:r>
      <w:r>
        <w:rPr>
          <w:color w:val="000000"/>
        </w:rPr>
        <w:t>“</w:t>
      </w:r>
      <w:r>
        <w:rPr>
          <w:rFonts w:hint="eastAsia" w:cs="仿宋_GB2312"/>
          <w:color w:val="000000"/>
        </w:rPr>
        <w:t>一刻钟便民生活圈</w:t>
      </w:r>
      <w:r>
        <w:rPr>
          <w:color w:val="000000"/>
        </w:rPr>
        <w:t>”</w:t>
      </w:r>
      <w:r>
        <w:rPr>
          <w:color w:val="000000"/>
          <w:vertAlign w:val="superscript"/>
        </w:rPr>
        <w:t>[1]</w:t>
      </w:r>
      <w:r>
        <w:rPr>
          <w:color w:val="000000"/>
        </w:rPr>
        <w:t>12</w:t>
      </w:r>
      <w:r>
        <w:rPr>
          <w:rFonts w:hint="eastAsia" w:cs="仿宋_GB2312"/>
          <w:color w:val="000000"/>
        </w:rPr>
        <w:t>个。组织</w:t>
      </w:r>
      <w:r>
        <w:rPr>
          <w:color w:val="000000"/>
        </w:rPr>
        <w:t>2000</w:t>
      </w:r>
      <w:r>
        <w:rPr>
          <w:rFonts w:hint="eastAsia" w:cs="仿宋_GB2312"/>
          <w:color w:val="000000"/>
        </w:rPr>
        <w:t>余家门店倾力打造</w:t>
      </w:r>
      <w:r>
        <w:rPr>
          <w:color w:val="000000"/>
        </w:rPr>
        <w:t>“</w:t>
      </w:r>
      <w:r>
        <w:rPr>
          <w:rFonts w:hint="eastAsia" w:cs="仿宋_GB2312"/>
          <w:color w:val="000000"/>
        </w:rPr>
        <w:t>夜经济</w:t>
      </w:r>
      <w:r>
        <w:rPr>
          <w:color w:val="000000"/>
        </w:rPr>
        <w:t>”</w:t>
      </w:r>
      <w:r>
        <w:rPr>
          <w:rFonts w:hint="eastAsia" w:cs="仿宋_GB2312"/>
          <w:color w:val="000000"/>
        </w:rPr>
        <w:t>聚集区，努力构建多元化消费场景，营造全新消费体验，夜间销售额累计实现</w:t>
      </w:r>
      <w:r>
        <w:rPr>
          <w:color w:val="000000"/>
        </w:rPr>
        <w:t>6.4</w:t>
      </w:r>
      <w:r>
        <w:rPr>
          <w:rFonts w:hint="eastAsia" w:cs="仿宋_GB2312"/>
          <w:color w:val="000000"/>
        </w:rPr>
        <w:t>亿元，占全天营业额的</w:t>
      </w:r>
      <w:r>
        <w:rPr>
          <w:color w:val="000000"/>
        </w:rPr>
        <w:t>38%</w:t>
      </w:r>
      <w:r>
        <w:rPr>
          <w:rFonts w:hint="eastAsia" w:cs="仿宋_GB2312"/>
          <w:color w:val="000000"/>
        </w:rPr>
        <w:t>以上。积极落实省市政策部署，大力开展</w:t>
      </w:r>
      <w:r>
        <w:rPr>
          <w:color w:val="000000"/>
        </w:rPr>
        <w:t>“</w:t>
      </w:r>
      <w:r>
        <w:rPr>
          <w:rFonts w:hint="eastAsia" w:cs="仿宋_GB2312"/>
          <w:color w:val="000000"/>
        </w:rPr>
        <w:t>以旧换新</w:t>
      </w:r>
      <w:r>
        <w:rPr>
          <w:color w:val="000000"/>
        </w:rPr>
        <w:t>”</w:t>
      </w:r>
      <w:r>
        <w:rPr>
          <w:rFonts w:hint="eastAsia" w:cs="仿宋_GB2312"/>
          <w:color w:val="000000"/>
        </w:rPr>
        <w:t>活动，累计推荐</w:t>
      </w:r>
      <w:r>
        <w:rPr>
          <w:color w:val="000000"/>
        </w:rPr>
        <w:t>405</w:t>
      </w:r>
      <w:r>
        <w:rPr>
          <w:rFonts w:hint="eastAsia" w:cs="仿宋_GB2312"/>
          <w:color w:val="000000"/>
        </w:rPr>
        <w:t>家承办企业，拉动消费</w:t>
      </w:r>
      <w:r>
        <w:rPr>
          <w:color w:val="000000"/>
        </w:rPr>
        <w:t>3</w:t>
      </w:r>
      <w:r>
        <w:rPr>
          <w:rFonts w:hint="eastAsia" w:cs="仿宋_GB2312"/>
          <w:color w:val="000000"/>
        </w:rPr>
        <w:t>亿元以上。</w:t>
      </w:r>
    </w:p>
    <w:p w14:paraId="2281784F">
      <w:pPr>
        <w:pStyle w:val="13"/>
        <w:widowControl/>
        <w:spacing w:line="570" w:lineRule="exact"/>
        <w:ind w:firstLine="624" w:firstLineChars="200"/>
        <w:rPr>
          <w:rFonts w:eastAsia="楷体_GB2312"/>
          <w:color w:val="000000"/>
          <w:sz w:val="32"/>
          <w:szCs w:val="32"/>
        </w:rPr>
      </w:pPr>
      <w:r>
        <w:rPr>
          <w:rFonts w:hint="eastAsia" w:eastAsia="楷体_GB2312" w:cs="楷体_GB2312"/>
          <w:color w:val="000000"/>
          <w:sz w:val="32"/>
          <w:szCs w:val="32"/>
        </w:rPr>
        <w:t>（二）坚持动能转换，经济活力不断增强</w:t>
      </w:r>
    </w:p>
    <w:p w14:paraId="5FDBA03E">
      <w:pPr>
        <w:spacing w:line="570" w:lineRule="exact"/>
        <w:ind w:firstLine="624" w:firstLineChars="200"/>
        <w:rPr>
          <w:color w:val="000000"/>
        </w:rPr>
      </w:pPr>
      <w:r>
        <w:rPr>
          <w:rStyle w:val="17"/>
          <w:rFonts w:hint="eastAsia" w:cs="仿宋_GB2312"/>
          <w:color w:val="000000"/>
        </w:rPr>
        <w:t>创新动能加速汇聚。</w:t>
      </w:r>
      <w:r>
        <w:rPr>
          <w:rFonts w:hint="eastAsia" w:cs="仿宋_GB2312"/>
          <w:color w:val="000000"/>
        </w:rPr>
        <w:t>快速响应企业创新需求，组织申报科技计划项目</w:t>
      </w:r>
      <w:r>
        <w:rPr>
          <w:color w:val="000000"/>
        </w:rPr>
        <w:t>9</w:t>
      </w:r>
      <w:r>
        <w:rPr>
          <w:rFonts w:hint="eastAsia" w:cs="仿宋_GB2312"/>
          <w:color w:val="000000"/>
        </w:rPr>
        <w:t>项，新增省市级科创平台</w:t>
      </w:r>
      <w:r>
        <w:rPr>
          <w:color w:val="000000"/>
        </w:rPr>
        <w:t>9</w:t>
      </w:r>
      <w:r>
        <w:rPr>
          <w:rFonts w:hint="eastAsia" w:cs="仿宋_GB2312"/>
          <w:color w:val="000000"/>
        </w:rPr>
        <w:t>家，省级以上科创平台数量并列全省第一。积极促进技术交易，吸纳京津技术合同成交额超</w:t>
      </w:r>
      <w:r>
        <w:rPr>
          <w:color w:val="000000"/>
        </w:rPr>
        <w:t>9</w:t>
      </w:r>
      <w:r>
        <w:rPr>
          <w:rFonts w:hint="eastAsia" w:cs="仿宋_GB2312"/>
          <w:color w:val="000000"/>
        </w:rPr>
        <w:t>亿元，全区技术合同成交额突破</w:t>
      </w:r>
      <w:r>
        <w:rPr>
          <w:color w:val="000000"/>
        </w:rPr>
        <w:t>57</w:t>
      </w:r>
      <w:r>
        <w:rPr>
          <w:rFonts w:hint="eastAsia" w:cs="仿宋_GB2312"/>
          <w:color w:val="000000"/>
        </w:rPr>
        <w:t>亿元，同比实现大幅增长。</w:t>
      </w:r>
      <w:r>
        <w:rPr>
          <w:rFonts w:hint="eastAsia" w:ascii="仿宋_GB2312" w:hAnsi="仿宋_GB2312" w:cs="仿宋_GB2312"/>
        </w:rPr>
        <w:t>县域科技创新能力连续</w:t>
      </w:r>
      <w:r>
        <w:t>5</w:t>
      </w:r>
      <w:r>
        <w:rPr>
          <w:rFonts w:hint="eastAsia" w:ascii="仿宋_GB2312" w:hAnsi="仿宋_GB2312" w:cs="仿宋_GB2312"/>
        </w:rPr>
        <w:t>年保持全省</w:t>
      </w:r>
      <w:r>
        <w:t>A</w:t>
      </w:r>
      <w:r>
        <w:rPr>
          <w:rFonts w:hint="eastAsia" w:ascii="仿宋_GB2312" w:hAnsi="仿宋_GB2312" w:cs="仿宋_GB2312"/>
        </w:rPr>
        <w:t>类行列，</w:t>
      </w:r>
      <w:r>
        <w:rPr>
          <w:rFonts w:hint="eastAsia" w:cs="仿宋_GB2312"/>
        </w:rPr>
        <w:t>金角湾数字经济产业园、创享众创空间等</w:t>
      </w:r>
      <w:r>
        <w:rPr>
          <w:rFonts w:hint="eastAsia" w:ascii="仿宋_GB2312" w:hAnsi="仿宋_GB2312" w:cs="仿宋_GB2312"/>
        </w:rPr>
        <w:t>科技孵化载体顺利通过市级认定</w:t>
      </w:r>
      <w:r>
        <w:rPr>
          <w:rFonts w:hint="eastAsia" w:cs="仿宋_GB2312"/>
          <w:color w:val="000000"/>
        </w:rPr>
        <w:t>，</w:t>
      </w:r>
      <w:r>
        <w:rPr>
          <w:rFonts w:hint="eastAsia" w:ascii="仿宋_GB2312" w:hAnsi="仿宋_GB2312" w:cs="仿宋_GB2312"/>
        </w:rPr>
        <w:t>创新引领发展作用进一步增强。</w:t>
      </w:r>
    </w:p>
    <w:p w14:paraId="5DCAEF47">
      <w:pPr>
        <w:spacing w:line="570" w:lineRule="exact"/>
        <w:ind w:firstLine="624" w:firstLineChars="200"/>
        <w:rPr>
          <w:color w:val="000000"/>
        </w:rPr>
      </w:pPr>
      <w:r>
        <w:rPr>
          <w:rFonts w:hint="eastAsia" w:cs="仿宋_GB2312"/>
          <w:b/>
          <w:bCs/>
          <w:color w:val="000000"/>
        </w:rPr>
        <w:t>创新主体快速成长。</w:t>
      </w:r>
      <w:r>
        <w:rPr>
          <w:rFonts w:hint="eastAsia" w:cs="仿宋_GB2312"/>
          <w:color w:val="000000"/>
        </w:rPr>
        <w:t>聚焦辖区优质企业，精准提供扶持政策和个性化服务，引导企业加大科技创新投入，推动产业、产品、产线转型升级。全年新增规上工业企业</w:t>
      </w:r>
      <w:r>
        <w:rPr>
          <w:color w:val="000000"/>
        </w:rPr>
        <w:t>1</w:t>
      </w:r>
      <w:r>
        <w:rPr>
          <w:rFonts w:hint="eastAsia" w:cs="仿宋_GB2312"/>
          <w:color w:val="000000"/>
        </w:rPr>
        <w:t>家、规上服务业企业</w:t>
      </w:r>
      <w:r>
        <w:rPr>
          <w:color w:val="000000"/>
        </w:rPr>
        <w:t>19</w:t>
      </w:r>
      <w:r>
        <w:rPr>
          <w:rFonts w:hint="eastAsia" w:cs="仿宋_GB2312"/>
          <w:color w:val="000000"/>
        </w:rPr>
        <w:t>家、限额以上零售企业</w:t>
      </w:r>
      <w:r>
        <w:rPr>
          <w:color w:val="000000"/>
        </w:rPr>
        <w:t>51</w:t>
      </w:r>
      <w:r>
        <w:rPr>
          <w:rFonts w:hint="eastAsia" w:cs="仿宋_GB2312"/>
          <w:color w:val="000000"/>
        </w:rPr>
        <w:t>家，科技型中小企业数量达到</w:t>
      </w:r>
      <w:r>
        <w:rPr>
          <w:color w:val="000000"/>
        </w:rPr>
        <w:t>1409</w:t>
      </w:r>
      <w:r>
        <w:rPr>
          <w:rFonts w:hint="eastAsia" w:cs="仿宋_GB2312"/>
          <w:color w:val="000000"/>
        </w:rPr>
        <w:t>家，高新技术企业达到</w:t>
      </w:r>
      <w:r>
        <w:rPr>
          <w:color w:val="000000"/>
        </w:rPr>
        <w:t>203</w:t>
      </w:r>
      <w:r>
        <w:rPr>
          <w:rFonts w:hint="eastAsia" w:cs="仿宋_GB2312"/>
          <w:color w:val="000000"/>
        </w:rPr>
        <w:t>家；</w:t>
      </w:r>
      <w:r>
        <w:rPr>
          <w:rFonts w:hint="eastAsia" w:cs="仿宋_GB2312"/>
        </w:rPr>
        <w:t>成功培育“瞪羚”企业</w:t>
      </w:r>
      <w:r>
        <w:rPr>
          <w:color w:val="000000"/>
          <w:vertAlign w:val="superscript"/>
        </w:rPr>
        <w:t>[2]</w:t>
      </w:r>
      <w:r>
        <w:t>1</w:t>
      </w:r>
      <w:r>
        <w:rPr>
          <w:rFonts w:hint="eastAsia" w:cs="仿宋_GB2312"/>
        </w:rPr>
        <w:t>家，</w:t>
      </w:r>
      <w:r>
        <w:rPr>
          <w:rFonts w:hint="eastAsia" w:cs="仿宋_GB2312"/>
          <w:color w:val="000000"/>
        </w:rPr>
        <w:t>新增</w:t>
      </w:r>
      <w:r>
        <w:rPr>
          <w:color w:val="000000"/>
        </w:rPr>
        <w:t>“</w:t>
      </w:r>
      <w:r>
        <w:rPr>
          <w:rFonts w:hint="eastAsia" w:cs="仿宋_GB2312"/>
          <w:color w:val="000000"/>
        </w:rPr>
        <w:t>专精特新</w:t>
      </w:r>
      <w:r>
        <w:rPr>
          <w:color w:val="000000"/>
        </w:rPr>
        <w:t>”</w:t>
      </w:r>
      <w:r>
        <w:rPr>
          <w:color w:val="000000"/>
          <w:vertAlign w:val="superscript"/>
        </w:rPr>
        <w:t>[3]</w:t>
      </w:r>
      <w:r>
        <w:rPr>
          <w:rFonts w:hint="eastAsia" w:cs="仿宋_GB2312"/>
          <w:color w:val="000000"/>
        </w:rPr>
        <w:t>企业</w:t>
      </w:r>
      <w:r>
        <w:rPr>
          <w:color w:val="000000"/>
        </w:rPr>
        <w:t>8</w:t>
      </w:r>
      <w:r>
        <w:rPr>
          <w:rFonts w:hint="eastAsia" w:cs="仿宋_GB2312"/>
          <w:color w:val="000000"/>
        </w:rPr>
        <w:t>家，全区</w:t>
      </w:r>
      <w:r>
        <w:rPr>
          <w:color w:val="000000"/>
        </w:rPr>
        <w:t>“</w:t>
      </w:r>
      <w:r>
        <w:rPr>
          <w:rFonts w:hint="eastAsia" w:cs="仿宋_GB2312"/>
          <w:color w:val="000000"/>
        </w:rPr>
        <w:t>专精特新</w:t>
      </w:r>
      <w:r>
        <w:rPr>
          <w:color w:val="000000"/>
        </w:rPr>
        <w:t>”</w:t>
      </w:r>
      <w:r>
        <w:rPr>
          <w:rFonts w:hint="eastAsia" w:cs="仿宋_GB2312"/>
          <w:color w:val="000000"/>
        </w:rPr>
        <w:t>企业达到</w:t>
      </w:r>
      <w:r>
        <w:rPr>
          <w:color w:val="000000"/>
        </w:rPr>
        <w:t>33</w:t>
      </w:r>
      <w:r>
        <w:rPr>
          <w:rFonts w:hint="eastAsia" w:cs="仿宋_GB2312"/>
          <w:color w:val="000000"/>
        </w:rPr>
        <w:t>家；</w:t>
      </w:r>
      <w:r>
        <w:rPr>
          <w:rFonts w:hint="eastAsia" w:cs="仿宋_GB2312"/>
        </w:rPr>
        <w:t>国瑞堂、远征药业等</w:t>
      </w:r>
      <w:r>
        <w:t>4</w:t>
      </w:r>
      <w:r>
        <w:rPr>
          <w:rFonts w:hint="eastAsia" w:cs="仿宋_GB2312"/>
        </w:rPr>
        <w:t>家企业完成数字化转型改造</w:t>
      </w:r>
      <w:r>
        <w:rPr>
          <w:rFonts w:hint="eastAsia" w:cs="仿宋_GB2312"/>
          <w:color w:val="000000"/>
        </w:rPr>
        <w:t>。</w:t>
      </w:r>
    </w:p>
    <w:p w14:paraId="2C4CFB55">
      <w:pPr>
        <w:spacing w:line="570" w:lineRule="exact"/>
        <w:ind w:firstLine="624" w:firstLineChars="200"/>
        <w:rPr>
          <w:color w:val="000000"/>
        </w:rPr>
      </w:pPr>
      <w:r>
        <w:rPr>
          <w:rFonts w:hint="eastAsia" w:cs="仿宋_GB2312"/>
          <w:b/>
          <w:bCs/>
          <w:color w:val="000000"/>
          <w:kern w:val="0"/>
        </w:rPr>
        <w:t>招商引资全面加强。</w:t>
      </w:r>
      <w:r>
        <w:rPr>
          <w:rFonts w:hint="eastAsia" w:cs="仿宋_GB2312"/>
          <w:color w:val="000000"/>
        </w:rPr>
        <w:t>针对辖区内配套齐全、开发潜力大的</w:t>
      </w:r>
      <w:r>
        <w:rPr>
          <w:color w:val="000000"/>
        </w:rPr>
        <w:t>129</w:t>
      </w:r>
      <w:r>
        <w:rPr>
          <w:rFonts w:hint="eastAsia" w:cs="仿宋_GB2312"/>
          <w:color w:val="000000"/>
        </w:rPr>
        <w:t>块土地及优质写字楼，制作了长安区地块</w:t>
      </w:r>
      <w:r>
        <w:rPr>
          <w:color w:val="000000"/>
        </w:rPr>
        <w:t>VR</w:t>
      </w:r>
      <w:r>
        <w:rPr>
          <w:rFonts w:hint="eastAsia" w:cs="仿宋_GB2312"/>
          <w:color w:val="000000"/>
        </w:rPr>
        <w:t>展示小程序。聚焦</w:t>
      </w:r>
      <w:r>
        <w:rPr>
          <w:color w:val="000000"/>
        </w:rPr>
        <w:t>“</w:t>
      </w:r>
      <w:r>
        <w:rPr>
          <w:rFonts w:hint="eastAsia" w:cs="仿宋_GB2312"/>
          <w:color w:val="000000"/>
        </w:rPr>
        <w:t>六支撑</w:t>
      </w:r>
      <w:r>
        <w:rPr>
          <w:color w:val="000000"/>
        </w:rPr>
        <w:t>”</w:t>
      </w:r>
      <w:r>
        <w:rPr>
          <w:rFonts w:hint="eastAsia" w:cs="仿宋_GB2312"/>
          <w:color w:val="000000"/>
        </w:rPr>
        <w:t>产业</w:t>
      </w:r>
      <w:r>
        <w:rPr>
          <w:color w:val="000000"/>
          <w:vertAlign w:val="superscript"/>
        </w:rPr>
        <w:t>[4]</w:t>
      </w:r>
      <w:r>
        <w:rPr>
          <w:rFonts w:hint="eastAsia" w:cs="仿宋_GB2312"/>
          <w:color w:val="000000"/>
        </w:rPr>
        <w:t>，综合运用驻点招商、全员招商、以商招商等措施，累计对接洽谈客商</w:t>
      </w:r>
      <w:r>
        <w:rPr>
          <w:color w:val="000000"/>
        </w:rPr>
        <w:t>120</w:t>
      </w:r>
      <w:r>
        <w:rPr>
          <w:rFonts w:hint="eastAsia" w:cs="仿宋_GB2312"/>
          <w:color w:val="000000"/>
        </w:rPr>
        <w:t>余次，</w:t>
      </w:r>
      <w:r>
        <w:rPr>
          <w:rFonts w:hint="eastAsia" w:cs="仿宋_GB2312"/>
        </w:rPr>
        <w:t>签约豪霆赛车、数字金融产业园、智联国际物流枢纽等亿元以上项目</w:t>
      </w:r>
      <w:r>
        <w:t>15</w:t>
      </w:r>
      <w:r>
        <w:rPr>
          <w:rFonts w:hint="eastAsia" w:cs="仿宋_GB2312"/>
        </w:rPr>
        <w:t>个，总投资</w:t>
      </w:r>
      <w:r>
        <w:t>136.8</w:t>
      </w:r>
      <w:r>
        <w:rPr>
          <w:rFonts w:hint="eastAsia" w:cs="仿宋_GB2312"/>
        </w:rPr>
        <w:t>亿元；</w:t>
      </w:r>
      <w:r>
        <w:t>10</w:t>
      </w:r>
      <w:r>
        <w:rPr>
          <w:rFonts w:hint="eastAsia" w:cs="仿宋_GB2312"/>
        </w:rPr>
        <w:t>个项目已落地，总投资</w:t>
      </w:r>
      <w:r>
        <w:t>56.62</w:t>
      </w:r>
      <w:r>
        <w:rPr>
          <w:rFonts w:hint="eastAsia" w:cs="仿宋_GB2312"/>
        </w:rPr>
        <w:t>亿元。</w:t>
      </w:r>
    </w:p>
    <w:p w14:paraId="6617EE82">
      <w:pPr>
        <w:pStyle w:val="13"/>
        <w:widowControl/>
        <w:spacing w:line="570" w:lineRule="exact"/>
        <w:ind w:firstLine="624" w:firstLineChars="200"/>
        <w:rPr>
          <w:rFonts w:eastAsia="楷体_GB2312"/>
          <w:color w:val="000000"/>
          <w:sz w:val="32"/>
          <w:szCs w:val="32"/>
        </w:rPr>
      </w:pPr>
      <w:r>
        <w:rPr>
          <w:rFonts w:hint="eastAsia" w:eastAsia="楷体_GB2312" w:cs="楷体_GB2312"/>
          <w:color w:val="000000"/>
          <w:sz w:val="32"/>
          <w:szCs w:val="32"/>
        </w:rPr>
        <w:t>（三）坚持主动服务，发展环境持续优化</w:t>
      </w:r>
    </w:p>
    <w:p w14:paraId="4515B41D">
      <w:pPr>
        <w:spacing w:line="570" w:lineRule="exact"/>
        <w:ind w:firstLine="624" w:firstLineChars="200"/>
        <w:rPr>
          <w:color w:val="000000"/>
        </w:rPr>
      </w:pPr>
      <w:r>
        <w:rPr>
          <w:rFonts w:hint="eastAsia" w:cs="仿宋_GB2312"/>
          <w:b/>
          <w:bCs/>
          <w:color w:val="000000"/>
        </w:rPr>
        <w:t>行政审批显著提速。</w:t>
      </w:r>
      <w:r>
        <w:rPr>
          <w:rFonts w:hint="eastAsia" w:cs="仿宋_GB2312"/>
          <w:color w:val="000000"/>
        </w:rPr>
        <w:t>大力推进</w:t>
      </w:r>
      <w:r>
        <w:rPr>
          <w:color w:val="000000"/>
        </w:rPr>
        <w:t>“</w:t>
      </w:r>
      <w:r>
        <w:rPr>
          <w:rFonts w:hint="eastAsia" w:cs="仿宋_GB2312"/>
          <w:color w:val="000000"/>
        </w:rPr>
        <w:t>高效办成一件事</w:t>
      </w:r>
      <w:r>
        <w:rPr>
          <w:color w:val="000000"/>
        </w:rPr>
        <w:t>”</w:t>
      </w:r>
      <w:r>
        <w:rPr>
          <w:rFonts w:hint="eastAsia" w:cs="仿宋_GB2312"/>
          <w:color w:val="000000"/>
        </w:rPr>
        <w:t>落地应用，</w:t>
      </w:r>
      <w:r>
        <w:rPr>
          <w:color w:val="000000"/>
          <w:spacing w:val="-8"/>
        </w:rPr>
        <w:t>13</w:t>
      </w:r>
      <w:r>
        <w:rPr>
          <w:rFonts w:hint="eastAsia" w:cs="仿宋_GB2312"/>
          <w:color w:val="000000"/>
          <w:spacing w:val="-8"/>
        </w:rPr>
        <w:t>个重</w:t>
      </w:r>
      <w:r>
        <w:rPr>
          <w:rFonts w:hint="eastAsia" w:cs="仿宋_GB2312"/>
          <w:color w:val="000000"/>
        </w:rPr>
        <w:t>点事项均上线河北政务服务网和冀时办</w:t>
      </w:r>
      <w:r>
        <w:rPr>
          <w:color w:val="000000"/>
        </w:rPr>
        <w:t>APP</w:t>
      </w:r>
      <w:r>
        <w:rPr>
          <w:rFonts w:hint="eastAsia" w:cs="仿宋_GB2312"/>
          <w:color w:val="000000"/>
        </w:rPr>
        <w:t>，累计办理</w:t>
      </w:r>
      <w:r>
        <w:rPr>
          <w:color w:val="000000"/>
        </w:rPr>
        <w:t>2.2</w:t>
      </w:r>
      <w:r>
        <w:rPr>
          <w:rFonts w:hint="eastAsia" w:cs="仿宋_GB2312"/>
          <w:color w:val="000000"/>
        </w:rPr>
        <w:t>万件，行政效能显著提升。梳理全区</w:t>
      </w:r>
      <w:r>
        <w:rPr>
          <w:color w:val="000000"/>
        </w:rPr>
        <w:t>30</w:t>
      </w:r>
      <w:r>
        <w:rPr>
          <w:rFonts w:hint="eastAsia" w:cs="仿宋_GB2312"/>
          <w:color w:val="000000"/>
        </w:rPr>
        <w:t>个部门</w:t>
      </w:r>
      <w:r>
        <w:rPr>
          <w:color w:val="000000"/>
        </w:rPr>
        <w:t>1187</w:t>
      </w:r>
      <w:r>
        <w:rPr>
          <w:rFonts w:hint="eastAsia" w:cs="仿宋_GB2312"/>
          <w:color w:val="000000"/>
        </w:rPr>
        <w:t>个政务服务事项，统一实施规范标准、关联电子证照库，全面实现免证办理。构建线上</w:t>
      </w:r>
      <w:r>
        <w:rPr>
          <w:color w:val="000000"/>
        </w:rPr>
        <w:t>“</w:t>
      </w:r>
      <w:r>
        <w:rPr>
          <w:rFonts w:hint="eastAsia" w:cs="仿宋_GB2312"/>
          <w:color w:val="000000"/>
        </w:rPr>
        <w:t>一网通办</w:t>
      </w:r>
      <w:r>
        <w:rPr>
          <w:color w:val="000000"/>
        </w:rPr>
        <w:t>”</w:t>
      </w:r>
      <w:r>
        <w:rPr>
          <w:rFonts w:hint="eastAsia" w:cs="仿宋_GB2312"/>
          <w:color w:val="000000"/>
        </w:rPr>
        <w:t>、线下</w:t>
      </w:r>
      <w:r>
        <w:rPr>
          <w:color w:val="000000"/>
        </w:rPr>
        <w:t>“</w:t>
      </w:r>
      <w:r>
        <w:rPr>
          <w:rFonts w:hint="eastAsia" w:cs="仿宋_GB2312"/>
          <w:color w:val="000000"/>
        </w:rPr>
        <w:t>一窗通办</w:t>
      </w:r>
      <w:r>
        <w:rPr>
          <w:color w:val="000000"/>
        </w:rPr>
        <w:t>”</w:t>
      </w:r>
      <w:r>
        <w:rPr>
          <w:rFonts w:hint="eastAsia" w:cs="仿宋_GB2312"/>
          <w:color w:val="000000"/>
        </w:rPr>
        <w:t>服务模式，实现企业成立</w:t>
      </w:r>
      <w:r>
        <w:rPr>
          <w:color w:val="000000"/>
        </w:rPr>
        <w:t>“</w:t>
      </w:r>
      <w:r>
        <w:rPr>
          <w:rFonts w:hint="eastAsia" w:cs="仿宋_GB2312"/>
          <w:color w:val="000000"/>
        </w:rPr>
        <w:t>即时办结</w:t>
      </w:r>
      <w:r>
        <w:rPr>
          <w:color w:val="000000"/>
        </w:rPr>
        <w:t>”</w:t>
      </w:r>
      <w:r>
        <w:rPr>
          <w:rFonts w:hint="eastAsia" w:cs="仿宋_GB2312"/>
          <w:color w:val="000000"/>
        </w:rPr>
        <w:t>；全年新增市场主体</w:t>
      </w:r>
      <w:r>
        <w:rPr>
          <w:color w:val="000000"/>
        </w:rPr>
        <w:t>2.1</w:t>
      </w:r>
      <w:r>
        <w:rPr>
          <w:rFonts w:hint="eastAsia" w:cs="仿宋_GB2312"/>
          <w:color w:val="000000"/>
        </w:rPr>
        <w:t>万户，总量达到</w:t>
      </w:r>
      <w:r>
        <w:rPr>
          <w:color w:val="000000"/>
        </w:rPr>
        <w:t>15</w:t>
      </w:r>
      <w:r>
        <w:rPr>
          <w:rFonts w:hint="eastAsia" w:cs="仿宋_GB2312"/>
          <w:color w:val="000000"/>
        </w:rPr>
        <w:t>万户，继续保持全市前列。</w:t>
      </w:r>
    </w:p>
    <w:p w14:paraId="65C7F480">
      <w:pPr>
        <w:spacing w:line="570" w:lineRule="exact"/>
        <w:ind w:firstLine="624" w:firstLineChars="200"/>
        <w:rPr>
          <w:color w:val="000000"/>
        </w:rPr>
      </w:pPr>
      <w:r>
        <w:rPr>
          <w:rFonts w:hint="eastAsia" w:cs="仿宋_GB2312"/>
          <w:b/>
          <w:bCs/>
          <w:color w:val="000000"/>
        </w:rPr>
        <w:t>企业包联持续深入。</w:t>
      </w:r>
      <w:r>
        <w:rPr>
          <w:rFonts w:hint="eastAsia" w:cs="仿宋_GB2312"/>
          <w:color w:val="000000"/>
        </w:rPr>
        <w:t>发挥区级领导包联企业带头作用，对全区</w:t>
      </w:r>
      <w:r>
        <w:rPr>
          <w:color w:val="000000"/>
        </w:rPr>
        <w:t>1000</w:t>
      </w:r>
      <w:r>
        <w:rPr>
          <w:rFonts w:hint="eastAsia" w:cs="仿宋_GB2312"/>
          <w:color w:val="000000"/>
        </w:rPr>
        <w:t>余家重点企业开展惠企政策宣传及包联帮扶，协调解决企业经营</w:t>
      </w:r>
      <w:r>
        <w:rPr>
          <w:rFonts w:hint="eastAsia" w:cs="仿宋_GB2312"/>
          <w:color w:val="000000"/>
          <w:spacing w:val="-10"/>
        </w:rPr>
        <w:t>难题</w:t>
      </w:r>
      <w:r>
        <w:rPr>
          <w:color w:val="000000"/>
          <w:spacing w:val="-10"/>
        </w:rPr>
        <w:t>123</w:t>
      </w:r>
      <w:r>
        <w:rPr>
          <w:rFonts w:hint="eastAsia" w:cs="仿宋_GB2312"/>
          <w:color w:val="000000"/>
          <w:spacing w:val="-10"/>
        </w:rPr>
        <w:t>个</w:t>
      </w:r>
      <w:r>
        <w:rPr>
          <w:rFonts w:hint="eastAsia" w:cs="仿宋_GB2312"/>
          <w:color w:val="000000"/>
        </w:rPr>
        <w:t>。深入落实“</w:t>
      </w:r>
      <w:r>
        <w:rPr>
          <w:color w:val="000000"/>
        </w:rPr>
        <w:t>19+10</w:t>
      </w:r>
      <w:r>
        <w:rPr>
          <w:rFonts w:hint="eastAsia" w:cs="仿宋_GB2312"/>
          <w:color w:val="000000"/>
        </w:rPr>
        <w:t>”优化营商环境措施，精准落实惠企政策，先后组织</w:t>
      </w:r>
      <w:r>
        <w:rPr>
          <w:color w:val="000000"/>
        </w:rPr>
        <w:t>“</w:t>
      </w:r>
      <w:r>
        <w:rPr>
          <w:rFonts w:hint="eastAsia" w:cs="仿宋_GB2312"/>
          <w:color w:val="000000"/>
        </w:rPr>
        <w:t>政策大讲堂</w:t>
      </w:r>
      <w:r>
        <w:rPr>
          <w:color w:val="000000"/>
        </w:rPr>
        <w:t>”</w:t>
      </w:r>
      <w:r>
        <w:rPr>
          <w:rFonts w:hint="eastAsia" w:cs="仿宋_GB2312"/>
          <w:color w:val="000000"/>
        </w:rPr>
        <w:t>活动</w:t>
      </w:r>
      <w:r>
        <w:rPr>
          <w:color w:val="000000"/>
        </w:rPr>
        <w:t>11</w:t>
      </w:r>
      <w:r>
        <w:rPr>
          <w:rFonts w:hint="eastAsia" w:cs="仿宋_GB2312"/>
          <w:color w:val="000000"/>
        </w:rPr>
        <w:t>次，惠及企业</w:t>
      </w:r>
      <w:r>
        <w:rPr>
          <w:color w:val="000000"/>
        </w:rPr>
        <w:t>900</w:t>
      </w:r>
      <w:r>
        <w:rPr>
          <w:rFonts w:hint="eastAsia" w:cs="仿宋_GB2312"/>
          <w:color w:val="000000"/>
        </w:rPr>
        <w:t>余家。</w:t>
      </w:r>
    </w:p>
    <w:p w14:paraId="77068392">
      <w:pPr>
        <w:spacing w:line="570" w:lineRule="exact"/>
        <w:ind w:firstLine="624" w:firstLineChars="200"/>
        <w:rPr>
          <w:color w:val="000000"/>
        </w:rPr>
      </w:pPr>
      <w:r>
        <w:rPr>
          <w:rFonts w:hint="eastAsia" w:cs="仿宋_GB2312"/>
          <w:b/>
          <w:bCs/>
          <w:color w:val="000000"/>
        </w:rPr>
        <w:t>政府服务全面提升。</w:t>
      </w:r>
      <w:r>
        <w:rPr>
          <w:rFonts w:hint="eastAsia" w:cs="仿宋_GB2312"/>
          <w:color w:val="000000"/>
        </w:rPr>
        <w:t>聚焦重点项目，主动对接服务，提供注册登记全流程</w:t>
      </w:r>
      <w:r>
        <w:rPr>
          <w:rFonts w:hint="eastAsia" w:ascii="仿宋_GB2312" w:cs="仿宋_GB2312"/>
          <w:color w:val="000000"/>
        </w:rPr>
        <w:t>“一站式”服务</w:t>
      </w:r>
      <w:r>
        <w:rPr>
          <w:rFonts w:hint="eastAsia" w:cs="仿宋_GB2312"/>
          <w:color w:val="000000"/>
        </w:rPr>
        <w:t>，变</w:t>
      </w:r>
      <w:r>
        <w:rPr>
          <w:color w:val="000000"/>
        </w:rPr>
        <w:t>“</w:t>
      </w:r>
      <w:r>
        <w:rPr>
          <w:rFonts w:hint="eastAsia" w:cs="仿宋_GB2312"/>
          <w:color w:val="000000"/>
        </w:rPr>
        <w:t>企业跑腿办</w:t>
      </w:r>
      <w:r>
        <w:rPr>
          <w:color w:val="000000"/>
        </w:rPr>
        <w:t>”</w:t>
      </w:r>
      <w:r>
        <w:rPr>
          <w:rFonts w:hint="eastAsia" w:cs="仿宋_GB2312"/>
          <w:color w:val="000000"/>
        </w:rPr>
        <w:t>为</w:t>
      </w:r>
      <w:r>
        <w:rPr>
          <w:color w:val="000000"/>
        </w:rPr>
        <w:t>“</w:t>
      </w:r>
      <w:r>
        <w:rPr>
          <w:rFonts w:hint="eastAsia" w:cs="仿宋_GB2312"/>
          <w:color w:val="000000"/>
        </w:rPr>
        <w:t>政府帮代办</w:t>
      </w:r>
      <w:r>
        <w:rPr>
          <w:color w:val="000000"/>
        </w:rPr>
        <w:t>”</w:t>
      </w:r>
      <w:r>
        <w:rPr>
          <w:rFonts w:hint="eastAsia" w:cs="仿宋_GB2312"/>
          <w:color w:val="000000"/>
        </w:rPr>
        <w:t>，为项目落地赢得宝贵时间，累计办理项目立项</w:t>
      </w:r>
      <w:r>
        <w:rPr>
          <w:color w:val="000000"/>
        </w:rPr>
        <w:t>160</w:t>
      </w:r>
      <w:r>
        <w:rPr>
          <w:rFonts w:hint="eastAsia" w:cs="仿宋_GB2312"/>
          <w:color w:val="000000"/>
        </w:rPr>
        <w:t>余个。常态化开展银企对接活动，为企业提供直通式、定制式专属融资策略和贷款产品，覆盖企业</w:t>
      </w:r>
      <w:r>
        <w:rPr>
          <w:color w:val="000000"/>
        </w:rPr>
        <w:t>1.4</w:t>
      </w:r>
      <w:r>
        <w:rPr>
          <w:rFonts w:hint="eastAsia" w:cs="仿宋_GB2312"/>
          <w:color w:val="000000"/>
        </w:rPr>
        <w:t>万户，累计融资</w:t>
      </w:r>
      <w:r>
        <w:rPr>
          <w:color w:val="000000"/>
        </w:rPr>
        <w:t>18</w:t>
      </w:r>
      <w:r>
        <w:rPr>
          <w:rFonts w:hint="eastAsia" w:cs="仿宋_GB2312"/>
          <w:color w:val="000000"/>
        </w:rPr>
        <w:t>亿元。</w:t>
      </w:r>
    </w:p>
    <w:p w14:paraId="29746B8C">
      <w:pPr>
        <w:pStyle w:val="13"/>
        <w:widowControl/>
        <w:spacing w:line="570" w:lineRule="exact"/>
        <w:ind w:firstLine="624" w:firstLineChars="200"/>
        <w:rPr>
          <w:rFonts w:eastAsia="楷体_GB2312"/>
          <w:color w:val="000000"/>
          <w:sz w:val="32"/>
          <w:szCs w:val="32"/>
        </w:rPr>
      </w:pPr>
      <w:r>
        <w:rPr>
          <w:rFonts w:hint="eastAsia" w:eastAsia="楷体_GB2312" w:cs="楷体_GB2312"/>
          <w:color w:val="000000"/>
          <w:sz w:val="32"/>
          <w:szCs w:val="32"/>
        </w:rPr>
        <w:t>（四）坚持生态优先，环境质量明显改善</w:t>
      </w:r>
    </w:p>
    <w:p w14:paraId="0255F6A4">
      <w:pPr>
        <w:spacing w:line="570" w:lineRule="exact"/>
        <w:ind w:firstLine="624" w:firstLineChars="200"/>
        <w:rPr>
          <w:color w:val="000000"/>
        </w:rPr>
      </w:pPr>
      <w:r>
        <w:rPr>
          <w:rFonts w:hint="eastAsia" w:cs="仿宋_GB2312"/>
          <w:b/>
          <w:bCs/>
          <w:color w:val="000000"/>
        </w:rPr>
        <w:t>积极推进企业减排。</w:t>
      </w:r>
      <w:r>
        <w:rPr>
          <w:rFonts w:hint="eastAsia" w:cs="仿宋_GB2312"/>
          <w:color w:val="000000"/>
        </w:rPr>
        <w:t>全年谋划</w:t>
      </w:r>
      <w:r>
        <w:rPr>
          <w:color w:val="000000"/>
        </w:rPr>
        <w:t>VOCs</w:t>
      </w:r>
      <w:r>
        <w:rPr>
          <w:rFonts w:hint="eastAsia" w:cs="仿宋_GB2312"/>
          <w:color w:val="000000"/>
        </w:rPr>
        <w:t>治理项目</w:t>
      </w:r>
      <w:r>
        <w:rPr>
          <w:color w:val="000000"/>
        </w:rPr>
        <w:t>6</w:t>
      </w:r>
      <w:r>
        <w:rPr>
          <w:rFonts w:hint="eastAsia" w:cs="仿宋_GB2312"/>
          <w:color w:val="000000"/>
        </w:rPr>
        <w:t>个、绿岛建设项目</w:t>
      </w:r>
      <w:r>
        <w:rPr>
          <w:color w:val="000000"/>
        </w:rPr>
        <w:t>1</w:t>
      </w:r>
      <w:r>
        <w:rPr>
          <w:rFonts w:hint="eastAsia" w:cs="仿宋_GB2312"/>
          <w:color w:val="000000"/>
        </w:rPr>
        <w:t>个，</w:t>
      </w:r>
      <w:r>
        <w:rPr>
          <w:color w:val="000000"/>
        </w:rPr>
        <w:t>46</w:t>
      </w:r>
      <w:r>
        <w:rPr>
          <w:rFonts w:hint="eastAsia" w:cs="仿宋_GB2312"/>
          <w:color w:val="000000"/>
        </w:rPr>
        <w:t>家涉</w:t>
      </w:r>
      <w:r>
        <w:rPr>
          <w:color w:val="000000"/>
        </w:rPr>
        <w:t>VOCs</w:t>
      </w:r>
      <w:r>
        <w:rPr>
          <w:rFonts w:hint="eastAsia" w:cs="仿宋_GB2312"/>
          <w:color w:val="000000"/>
        </w:rPr>
        <w:t>企业低效设施升级改造均已竣工投运；</w:t>
      </w:r>
      <w:r>
        <w:rPr>
          <w:color w:val="000000"/>
          <w:spacing w:val="-10"/>
        </w:rPr>
        <w:t>3</w:t>
      </w:r>
      <w:r>
        <w:rPr>
          <w:rFonts w:hint="eastAsia" w:cs="仿宋_GB2312"/>
          <w:color w:val="000000"/>
          <w:spacing w:val="-10"/>
        </w:rPr>
        <w:t>个大气减排项目均已通过生态环境部认定，氮氧化物减排</w:t>
      </w:r>
      <w:r>
        <w:rPr>
          <w:color w:val="000000"/>
          <w:spacing w:val="-10"/>
        </w:rPr>
        <w:t>104</w:t>
      </w:r>
      <w:r>
        <w:rPr>
          <w:rFonts w:hint="eastAsia" w:cs="仿宋_GB2312"/>
          <w:color w:val="000000"/>
        </w:rPr>
        <w:t>吨、挥发性有机物减排</w:t>
      </w:r>
      <w:r>
        <w:rPr>
          <w:color w:val="000000"/>
        </w:rPr>
        <w:t>110</w:t>
      </w:r>
      <w:r>
        <w:rPr>
          <w:rFonts w:hint="eastAsia" w:cs="仿宋_GB2312"/>
          <w:color w:val="000000"/>
        </w:rPr>
        <w:t>吨，提前超额完成</w:t>
      </w:r>
      <w:r>
        <w:rPr>
          <w:color w:val="000000"/>
        </w:rPr>
        <w:t>“</w:t>
      </w:r>
      <w:r>
        <w:rPr>
          <w:rFonts w:hint="eastAsia" w:cs="仿宋_GB2312"/>
          <w:color w:val="000000"/>
        </w:rPr>
        <w:t>十四五</w:t>
      </w:r>
      <w:r>
        <w:rPr>
          <w:color w:val="000000"/>
        </w:rPr>
        <w:t>”</w:t>
      </w:r>
      <w:r>
        <w:rPr>
          <w:rFonts w:hint="eastAsia" w:cs="仿宋_GB2312"/>
          <w:color w:val="000000"/>
        </w:rPr>
        <w:t>重点工程大气减排任务。</w:t>
      </w:r>
    </w:p>
    <w:p w14:paraId="0C0DDB3C">
      <w:pPr>
        <w:spacing w:line="570" w:lineRule="exact"/>
        <w:ind w:firstLine="624" w:firstLineChars="200"/>
        <w:rPr>
          <w:color w:val="000000"/>
        </w:rPr>
      </w:pPr>
      <w:r>
        <w:rPr>
          <w:rFonts w:hint="eastAsia" w:cs="仿宋_GB2312"/>
          <w:b/>
          <w:bCs/>
          <w:color w:val="000000"/>
        </w:rPr>
        <w:t>统筹抓好扬尘管控。</w:t>
      </w:r>
      <w:r>
        <w:rPr>
          <w:rFonts w:hint="eastAsia" w:cs="仿宋_GB2312"/>
          <w:color w:val="000000"/>
        </w:rPr>
        <w:t>严格执行</w:t>
      </w:r>
      <w:r>
        <w:rPr>
          <w:color w:val="000000"/>
        </w:rPr>
        <w:t>“</w:t>
      </w:r>
      <w:r>
        <w:rPr>
          <w:rFonts w:hint="eastAsia" w:cs="仿宋_GB2312"/>
          <w:color w:val="000000"/>
        </w:rPr>
        <w:t>六个百分百</w:t>
      </w:r>
      <w:r>
        <w:rPr>
          <w:color w:val="000000"/>
        </w:rPr>
        <w:t>”</w:t>
      </w:r>
      <w:r>
        <w:rPr>
          <w:rFonts w:hint="eastAsia" w:cs="仿宋_GB2312"/>
          <w:color w:val="000000"/>
        </w:rPr>
        <w:t>和</w:t>
      </w:r>
      <w:r>
        <w:rPr>
          <w:color w:val="000000"/>
        </w:rPr>
        <w:t>“</w:t>
      </w:r>
      <w:r>
        <w:rPr>
          <w:rFonts w:hint="eastAsia" w:cs="仿宋_GB2312"/>
          <w:color w:val="000000"/>
        </w:rPr>
        <w:t>两个全覆盖</w:t>
      </w:r>
      <w:r>
        <w:rPr>
          <w:color w:val="000000"/>
        </w:rPr>
        <w:t>”</w:t>
      </w:r>
      <w:r>
        <w:rPr>
          <w:rFonts w:hint="eastAsia" w:cs="仿宋_GB2312"/>
          <w:color w:val="000000"/>
          <w:lang w:val="zh-CN"/>
        </w:rPr>
        <w:t>的管理要求，</w:t>
      </w:r>
      <w:r>
        <w:rPr>
          <w:rFonts w:hint="eastAsia" w:cs="仿宋_GB2312"/>
          <w:color w:val="000000"/>
        </w:rPr>
        <w:t>建立完善</w:t>
      </w:r>
      <w:r>
        <w:rPr>
          <w:color w:val="000000"/>
        </w:rPr>
        <w:t>“</w:t>
      </w:r>
      <w:r>
        <w:rPr>
          <w:rFonts w:hint="eastAsia" w:cs="仿宋_GB2312"/>
          <w:color w:val="000000"/>
        </w:rPr>
        <w:t>现场日常查、视频时时查、高值重点查</w:t>
      </w:r>
      <w:r>
        <w:rPr>
          <w:color w:val="000000"/>
        </w:rPr>
        <w:t>”</w:t>
      </w:r>
      <w:r>
        <w:rPr>
          <w:rFonts w:hint="eastAsia" w:cs="仿宋_GB2312"/>
          <w:color w:val="000000"/>
        </w:rPr>
        <w:t>全天候监管模式，建筑工地全部实现视频在线监控和扬尘监测。全年空气质量综合指数</w:t>
      </w:r>
      <w:r>
        <w:rPr>
          <w:color w:val="000000"/>
        </w:rPr>
        <w:t>4.65</w:t>
      </w:r>
      <w:r>
        <w:rPr>
          <w:rFonts w:hint="eastAsia" w:cs="仿宋_GB2312"/>
          <w:color w:val="000000"/>
        </w:rPr>
        <w:t>，同比下降</w:t>
      </w:r>
      <w:r>
        <w:rPr>
          <w:color w:val="000000"/>
        </w:rPr>
        <w:t>2.7%</w:t>
      </w:r>
      <w:r>
        <w:rPr>
          <w:rFonts w:hint="eastAsia" w:cs="仿宋_GB2312"/>
          <w:color w:val="000000"/>
        </w:rPr>
        <w:t>，二级以上优良天数达到</w:t>
      </w:r>
      <w:r>
        <w:rPr>
          <w:color w:val="000000"/>
        </w:rPr>
        <w:t>231</w:t>
      </w:r>
      <w:r>
        <w:rPr>
          <w:rFonts w:hint="eastAsia" w:cs="仿宋_GB2312"/>
          <w:color w:val="000000"/>
        </w:rPr>
        <w:t>天，空气质量持续改善。</w:t>
      </w:r>
    </w:p>
    <w:p w14:paraId="08B91A32">
      <w:pPr>
        <w:spacing w:line="570" w:lineRule="exact"/>
        <w:ind w:firstLine="624" w:firstLineChars="200"/>
        <w:rPr>
          <w:color w:val="000000"/>
        </w:rPr>
      </w:pPr>
      <w:r>
        <w:rPr>
          <w:rFonts w:hint="eastAsia" w:cs="仿宋_GB2312"/>
          <w:b/>
          <w:bCs/>
          <w:color w:val="000000"/>
        </w:rPr>
        <w:t>全面加强水土监测。</w:t>
      </w:r>
      <w:r>
        <w:rPr>
          <w:rFonts w:hint="eastAsia" w:cs="仿宋_GB2312"/>
          <w:color w:val="000000"/>
        </w:rPr>
        <w:t>认真落实环境管理</w:t>
      </w:r>
      <w:r>
        <w:rPr>
          <w:color w:val="000000"/>
        </w:rPr>
        <w:t>“</w:t>
      </w:r>
      <w:r>
        <w:rPr>
          <w:rFonts w:hint="eastAsia" w:cs="仿宋_GB2312"/>
          <w:color w:val="000000"/>
        </w:rPr>
        <w:t>网格化</w:t>
      </w:r>
      <w:r>
        <w:rPr>
          <w:color w:val="000000"/>
        </w:rPr>
        <w:t>”</w:t>
      </w:r>
      <w:r>
        <w:rPr>
          <w:rFonts w:hint="eastAsia" w:cs="仿宋_GB2312"/>
          <w:color w:val="000000"/>
        </w:rPr>
        <w:t>制度，定期开展涉水、涉土污染企业、黑臭水体专项排查，水质监测结果无异常，地表水跨界河流断面考核点位水质稳定达标。累计关停自备井</w:t>
      </w:r>
      <w:r>
        <w:rPr>
          <w:color w:val="000000"/>
        </w:rPr>
        <w:t>78</w:t>
      </w:r>
      <w:r>
        <w:rPr>
          <w:rFonts w:hint="eastAsia" w:cs="仿宋_GB2312"/>
          <w:color w:val="000000"/>
        </w:rPr>
        <w:t>眼</w:t>
      </w:r>
      <w:r>
        <w:rPr>
          <w:rFonts w:hint="eastAsia" w:cs="仿宋_GB2312"/>
        </w:rPr>
        <w:t>，地下水位同比回升</w:t>
      </w:r>
      <w:r>
        <w:t>2.1</w:t>
      </w:r>
      <w:r>
        <w:rPr>
          <w:rFonts w:hint="eastAsia" w:cs="仿宋_GB2312"/>
        </w:rPr>
        <w:t>米。</w:t>
      </w:r>
      <w:r>
        <w:rPr>
          <w:rFonts w:hint="eastAsia" w:cs="仿宋_GB2312"/>
          <w:color w:val="000000"/>
        </w:rPr>
        <w:t>扎实开展土壤污染状况详查，污染耕地、污染地块安全利用率</w:t>
      </w:r>
      <w:r>
        <w:rPr>
          <w:rFonts w:hint="eastAsia" w:cs="仿宋_GB2312"/>
          <w:color w:val="000000"/>
          <w:spacing w:val="-12"/>
        </w:rPr>
        <w:t>均达</w:t>
      </w:r>
      <w:r>
        <w:rPr>
          <w:color w:val="000000"/>
          <w:spacing w:val="-12"/>
        </w:rPr>
        <w:t>100%</w:t>
      </w:r>
      <w:r>
        <w:rPr>
          <w:rFonts w:hint="eastAsia" w:cs="仿宋_GB2312"/>
          <w:color w:val="000000"/>
          <w:spacing w:val="-12"/>
        </w:rPr>
        <w:t>，</w:t>
      </w:r>
      <w:r>
        <w:rPr>
          <w:rFonts w:hint="eastAsia" w:cs="仿宋_GB2312"/>
          <w:color w:val="000000"/>
        </w:rPr>
        <w:t>土壤环境状况总体稳定。</w:t>
      </w:r>
    </w:p>
    <w:p w14:paraId="65E0E1E4">
      <w:pPr>
        <w:pStyle w:val="13"/>
        <w:widowControl/>
        <w:spacing w:line="570" w:lineRule="exact"/>
        <w:ind w:firstLine="624" w:firstLineChars="200"/>
        <w:rPr>
          <w:rFonts w:eastAsia="楷体_GB2312"/>
          <w:color w:val="000000"/>
          <w:sz w:val="32"/>
          <w:szCs w:val="32"/>
        </w:rPr>
      </w:pPr>
      <w:r>
        <w:rPr>
          <w:rFonts w:hint="eastAsia" w:eastAsia="楷体_GB2312" w:cs="楷体_GB2312"/>
          <w:color w:val="000000"/>
          <w:sz w:val="32"/>
          <w:szCs w:val="32"/>
        </w:rPr>
        <w:t>（五）坚持建管并重，城区品质提档升级</w:t>
      </w:r>
    </w:p>
    <w:p w14:paraId="3DABB90A">
      <w:pPr>
        <w:spacing w:line="570" w:lineRule="exact"/>
        <w:ind w:firstLine="624" w:firstLineChars="200"/>
        <w:rPr>
          <w:color w:val="000000"/>
        </w:rPr>
      </w:pPr>
      <w:r>
        <w:rPr>
          <w:rFonts w:hint="eastAsia" w:cs="仿宋_GB2312"/>
          <w:b/>
          <w:bCs/>
          <w:color w:val="000000"/>
        </w:rPr>
        <w:t>人居环境显著提升。</w:t>
      </w:r>
      <w:r>
        <w:rPr>
          <w:rFonts w:hint="eastAsia" w:cs="仿宋_GB2312"/>
          <w:color w:val="000000"/>
        </w:rPr>
        <w:t>完成劝业场宿舍、胸科医院宿舍、外贸宿舍等</w:t>
      </w:r>
      <w:r>
        <w:rPr>
          <w:color w:val="000000"/>
        </w:rPr>
        <w:t>46</w:t>
      </w:r>
      <w:r>
        <w:rPr>
          <w:rFonts w:hint="eastAsia" w:cs="仿宋_GB2312"/>
          <w:color w:val="000000"/>
        </w:rPr>
        <w:t>个老旧小区改造，改造建筑面积</w:t>
      </w:r>
      <w:r>
        <w:rPr>
          <w:color w:val="000000"/>
        </w:rPr>
        <w:t>111.43</w:t>
      </w:r>
      <w:r>
        <w:rPr>
          <w:rFonts w:hint="eastAsia" w:cs="仿宋_GB2312"/>
          <w:color w:val="000000"/>
        </w:rPr>
        <w:t>万平方米，</w:t>
      </w:r>
      <w:r>
        <w:rPr>
          <w:color w:val="000000"/>
        </w:rPr>
        <w:t>265</w:t>
      </w:r>
      <w:r>
        <w:rPr>
          <w:rFonts w:hint="eastAsia" w:cs="仿宋_GB2312"/>
          <w:color w:val="000000"/>
        </w:rPr>
        <w:t>栋楼，惠及居民</w:t>
      </w:r>
      <w:r>
        <w:rPr>
          <w:color w:val="000000"/>
        </w:rPr>
        <w:t>13885</w:t>
      </w:r>
      <w:r>
        <w:rPr>
          <w:rFonts w:hint="eastAsia" w:cs="仿宋_GB2312"/>
          <w:color w:val="000000"/>
        </w:rPr>
        <w:t>户。完成棚户区改造</w:t>
      </w:r>
      <w:r>
        <w:rPr>
          <w:color w:val="000000"/>
        </w:rPr>
        <w:t>4442</w:t>
      </w:r>
      <w:r>
        <w:rPr>
          <w:rFonts w:hint="eastAsia" w:cs="仿宋_GB2312"/>
          <w:color w:val="000000"/>
        </w:rPr>
        <w:t>套，新建高品质“口袋公园”</w:t>
      </w:r>
      <w:r>
        <w:rPr>
          <w:color w:val="000000"/>
          <w:vertAlign w:val="superscript"/>
        </w:rPr>
        <w:t>[5]</w:t>
      </w:r>
      <w:r>
        <w:rPr>
          <w:color w:val="000000"/>
        </w:rPr>
        <w:t>3</w:t>
      </w:r>
      <w:r>
        <w:rPr>
          <w:rFonts w:hint="eastAsia" w:cs="仿宋_GB2312"/>
          <w:color w:val="000000"/>
        </w:rPr>
        <w:t>座，打造</w:t>
      </w:r>
      <w:r>
        <w:rPr>
          <w:color w:val="000000"/>
        </w:rPr>
        <w:t>2</w:t>
      </w:r>
      <w:r>
        <w:rPr>
          <w:rFonts w:hint="eastAsia" w:cs="仿宋_GB2312"/>
          <w:color w:val="000000"/>
        </w:rPr>
        <w:t>条绿化示范街、</w:t>
      </w:r>
      <w:r>
        <w:rPr>
          <w:color w:val="000000"/>
        </w:rPr>
        <w:t>3</w:t>
      </w:r>
      <w:r>
        <w:rPr>
          <w:rFonts w:hint="eastAsia" w:cs="仿宋_GB2312"/>
          <w:color w:val="000000"/>
        </w:rPr>
        <w:t>条绿化重点街道，以点带面提高城市形象品质。开展复兴大街、北三环提升行动，整治绿化地块</w:t>
      </w:r>
      <w:r>
        <w:rPr>
          <w:color w:val="000000"/>
        </w:rPr>
        <w:t>31</w:t>
      </w:r>
      <w:r>
        <w:rPr>
          <w:rFonts w:hint="eastAsia" w:cs="仿宋_GB2312"/>
          <w:color w:val="000000"/>
        </w:rPr>
        <w:t>个。</w:t>
      </w:r>
    </w:p>
    <w:p w14:paraId="72739B5F">
      <w:pPr>
        <w:spacing w:line="570" w:lineRule="exact"/>
        <w:ind w:firstLine="624" w:firstLineChars="200"/>
        <w:rPr>
          <w:color w:val="000000"/>
          <w:kern w:val="0"/>
        </w:rPr>
      </w:pPr>
      <w:r>
        <w:rPr>
          <w:rFonts w:hint="eastAsia" w:cs="仿宋_GB2312"/>
          <w:b/>
          <w:bCs/>
          <w:color w:val="000000"/>
          <w:kern w:val="0"/>
        </w:rPr>
        <w:t>路网建设快速推进。</w:t>
      </w:r>
      <w:r>
        <w:rPr>
          <w:rFonts w:hint="eastAsia" w:cs="仿宋_GB2312"/>
          <w:color w:val="000000"/>
          <w:kern w:val="0"/>
        </w:rPr>
        <w:t>积极开展区管道路维护整修行动，</w:t>
      </w:r>
      <w:r>
        <w:rPr>
          <w:rFonts w:hint="eastAsia" w:cs="仿宋_GB2312"/>
          <w:color w:val="000000"/>
        </w:rPr>
        <w:t>维护道路</w:t>
      </w:r>
      <w:r>
        <w:rPr>
          <w:color w:val="000000"/>
        </w:rPr>
        <w:t>107</w:t>
      </w:r>
      <w:r>
        <w:rPr>
          <w:rFonts w:hint="eastAsia" w:cs="仿宋_GB2312"/>
          <w:color w:val="000000"/>
        </w:rPr>
        <w:t>条，修复便道</w:t>
      </w:r>
      <w:r>
        <w:rPr>
          <w:color w:val="000000"/>
        </w:rPr>
        <w:t>3787</w:t>
      </w:r>
      <w:r>
        <w:rPr>
          <w:rFonts w:hint="eastAsia" w:cs="仿宋_GB2312"/>
          <w:color w:val="000000"/>
        </w:rPr>
        <w:t>平方米、沥青路面</w:t>
      </w:r>
      <w:r>
        <w:rPr>
          <w:color w:val="000000"/>
        </w:rPr>
        <w:t>2965</w:t>
      </w:r>
      <w:r>
        <w:rPr>
          <w:rFonts w:hint="eastAsia" w:cs="仿宋_GB2312"/>
          <w:color w:val="000000"/>
        </w:rPr>
        <w:t>平方米、盲道</w:t>
      </w:r>
      <w:r>
        <w:rPr>
          <w:color w:val="000000"/>
        </w:rPr>
        <w:t>264</w:t>
      </w:r>
      <w:r>
        <w:rPr>
          <w:rFonts w:hint="eastAsia" w:cs="仿宋_GB2312"/>
          <w:color w:val="000000"/>
        </w:rPr>
        <w:t>平方米。完成金石街、国棉路、民心河东街、东塔中路、磁南路等</w:t>
      </w:r>
      <w:r>
        <w:rPr>
          <w:color w:val="000000"/>
        </w:rPr>
        <w:t>20</w:t>
      </w:r>
      <w:r>
        <w:rPr>
          <w:rFonts w:hint="eastAsia" w:cs="仿宋_GB2312"/>
          <w:color w:val="000000"/>
        </w:rPr>
        <w:t>条城建计划支路建设，其中东北部片区道路</w:t>
      </w:r>
      <w:r>
        <w:rPr>
          <w:color w:val="000000"/>
        </w:rPr>
        <w:t>14</w:t>
      </w:r>
      <w:r>
        <w:rPr>
          <w:rFonts w:hint="eastAsia" w:cs="仿宋_GB2312"/>
          <w:color w:val="000000"/>
        </w:rPr>
        <w:t>条，进一步改善了辖区路网结构，打通城市微循环</w:t>
      </w:r>
      <w:r>
        <w:rPr>
          <w:rFonts w:hint="eastAsia" w:cs="仿宋_GB2312"/>
          <w:color w:val="000000"/>
          <w:kern w:val="0"/>
        </w:rPr>
        <w:t>。</w:t>
      </w:r>
    </w:p>
    <w:p w14:paraId="1F6BA8C6">
      <w:pPr>
        <w:spacing w:line="570" w:lineRule="exact"/>
        <w:ind w:firstLine="624" w:firstLineChars="200"/>
        <w:rPr>
          <w:color w:val="000000"/>
          <w:kern w:val="0"/>
        </w:rPr>
      </w:pPr>
      <w:r>
        <w:rPr>
          <w:rFonts w:hint="eastAsia" w:cs="仿宋_GB2312"/>
          <w:b/>
          <w:bCs/>
          <w:color w:val="000000"/>
        </w:rPr>
        <w:t>城市治理更加精细。</w:t>
      </w:r>
      <w:r>
        <w:rPr>
          <w:rFonts w:hint="eastAsia" w:cs="仿宋_GB2312"/>
          <w:color w:val="000000"/>
        </w:rPr>
        <w:t>开展</w:t>
      </w:r>
      <w:r>
        <w:rPr>
          <w:color w:val="000000"/>
        </w:rPr>
        <w:t>“</w:t>
      </w:r>
      <w:r>
        <w:rPr>
          <w:rFonts w:hint="eastAsia" w:cs="仿宋_GB2312"/>
          <w:color w:val="000000"/>
        </w:rPr>
        <w:t>洗城降尘</w:t>
      </w:r>
      <w:r>
        <w:rPr>
          <w:color w:val="000000"/>
        </w:rPr>
        <w:t>”“</w:t>
      </w:r>
      <w:r>
        <w:rPr>
          <w:rFonts w:hint="eastAsia" w:cs="仿宋_GB2312"/>
          <w:color w:val="000000"/>
        </w:rPr>
        <w:t>道路扬尘治理</w:t>
      </w:r>
      <w:r>
        <w:rPr>
          <w:color w:val="000000"/>
        </w:rPr>
        <w:t>”</w:t>
      </w:r>
      <w:r>
        <w:rPr>
          <w:rFonts w:hint="eastAsia" w:cs="仿宋_GB2312"/>
          <w:color w:val="000000"/>
        </w:rPr>
        <w:t>等专项行动，累计清运生活垃圾</w:t>
      </w:r>
      <w:r>
        <w:rPr>
          <w:color w:val="000000"/>
        </w:rPr>
        <w:t>33.8</w:t>
      </w:r>
      <w:r>
        <w:rPr>
          <w:rFonts w:hint="eastAsia" w:cs="仿宋_GB2312"/>
          <w:color w:val="000000"/>
        </w:rPr>
        <w:t>万吨、清理小广告</w:t>
      </w:r>
      <w:r>
        <w:rPr>
          <w:color w:val="000000"/>
        </w:rPr>
        <w:t>3</w:t>
      </w:r>
      <w:r>
        <w:rPr>
          <w:rFonts w:hint="eastAsia" w:cs="仿宋_GB2312"/>
          <w:color w:val="000000"/>
        </w:rPr>
        <w:t>万余处，集中整治城市围挡</w:t>
      </w:r>
      <w:r>
        <w:rPr>
          <w:color w:val="000000"/>
        </w:rPr>
        <w:t>151</w:t>
      </w:r>
      <w:r>
        <w:rPr>
          <w:rFonts w:hint="eastAsia" w:cs="仿宋_GB2312"/>
          <w:color w:val="000000"/>
        </w:rPr>
        <w:t>处，规范整治牌匾标识</w:t>
      </w:r>
      <w:r>
        <w:rPr>
          <w:color w:val="000000"/>
        </w:rPr>
        <w:t>340</w:t>
      </w:r>
      <w:r>
        <w:rPr>
          <w:rFonts w:hint="eastAsia" w:cs="仿宋_GB2312"/>
          <w:color w:val="000000"/>
        </w:rPr>
        <w:t>余处。聚焦居民生活需求，持续加快</w:t>
      </w:r>
      <w:r>
        <w:rPr>
          <w:color w:val="000000"/>
        </w:rPr>
        <w:t>“</w:t>
      </w:r>
      <w:r>
        <w:rPr>
          <w:rFonts w:hint="eastAsia" w:cs="仿宋_GB2312"/>
          <w:color w:val="000000"/>
        </w:rPr>
        <w:t>一站三厂</w:t>
      </w:r>
      <w:r>
        <w:rPr>
          <w:color w:val="000000"/>
        </w:rPr>
        <w:t>”</w:t>
      </w:r>
      <w:r>
        <w:rPr>
          <w:color w:val="000000"/>
          <w:vertAlign w:val="superscript"/>
        </w:rPr>
        <w:t>[6]</w:t>
      </w:r>
      <w:r>
        <w:rPr>
          <w:rFonts w:hint="eastAsia" w:cs="仿宋_GB2312"/>
          <w:color w:val="000000"/>
        </w:rPr>
        <w:t>建设进度，新增生活垃圾智能投放点位</w:t>
      </w:r>
      <w:r>
        <w:rPr>
          <w:color w:val="000000"/>
        </w:rPr>
        <w:t>35</w:t>
      </w:r>
      <w:r>
        <w:rPr>
          <w:rFonts w:hint="eastAsia" w:cs="仿宋_GB2312"/>
          <w:color w:val="000000"/>
        </w:rPr>
        <w:t>个，电动自行车充电端口加装</w:t>
      </w:r>
      <w:r>
        <w:rPr>
          <w:color w:val="000000"/>
        </w:rPr>
        <w:t>3.7</w:t>
      </w:r>
      <w:r>
        <w:rPr>
          <w:rFonts w:hint="eastAsia" w:cs="仿宋_GB2312"/>
          <w:color w:val="000000"/>
        </w:rPr>
        <w:t>万个，建设车辆充电枪桩</w:t>
      </w:r>
      <w:r>
        <w:rPr>
          <w:color w:val="000000"/>
        </w:rPr>
        <w:t>2118</w:t>
      </w:r>
      <w:r>
        <w:rPr>
          <w:rFonts w:hint="eastAsia" w:cs="仿宋_GB2312"/>
          <w:color w:val="000000"/>
        </w:rPr>
        <w:t>个。</w:t>
      </w:r>
    </w:p>
    <w:p w14:paraId="42EFD296">
      <w:pPr>
        <w:pStyle w:val="13"/>
        <w:widowControl/>
        <w:spacing w:line="570" w:lineRule="exact"/>
        <w:ind w:firstLine="624" w:firstLineChars="200"/>
        <w:rPr>
          <w:rFonts w:eastAsia="楷体_GB2312"/>
          <w:color w:val="000000"/>
          <w:sz w:val="32"/>
          <w:szCs w:val="32"/>
        </w:rPr>
      </w:pPr>
      <w:r>
        <w:rPr>
          <w:rFonts w:hint="eastAsia" w:eastAsia="楷体_GB2312" w:cs="楷体_GB2312"/>
          <w:color w:val="000000"/>
          <w:sz w:val="32"/>
          <w:szCs w:val="32"/>
        </w:rPr>
        <w:t>（六）坚持共建共享，民生福祉稳步增进</w:t>
      </w:r>
    </w:p>
    <w:p w14:paraId="0C883B77">
      <w:pPr>
        <w:spacing w:line="570" w:lineRule="exact"/>
        <w:ind w:firstLine="624" w:firstLineChars="200"/>
        <w:rPr>
          <w:color w:val="000000"/>
        </w:rPr>
      </w:pPr>
      <w:r>
        <w:rPr>
          <w:rFonts w:hint="eastAsia" w:cs="仿宋_GB2312"/>
          <w:b/>
          <w:bCs/>
          <w:color w:val="000000"/>
        </w:rPr>
        <w:t>稳定就业成效显著。</w:t>
      </w:r>
      <w:r>
        <w:rPr>
          <w:rFonts w:hint="eastAsia" w:ascii="仿宋_GB2312" w:hAnsi="仿宋_GB2312" w:cs="仿宋_GB2312"/>
        </w:rPr>
        <w:t>持续强化公共就业服务，组织招聘会</w:t>
      </w:r>
      <w:r>
        <w:t>38</w:t>
      </w:r>
      <w:r>
        <w:rPr>
          <w:rFonts w:hint="eastAsia" w:ascii="仿宋_GB2312" w:hAnsi="仿宋_GB2312" w:cs="仿宋_GB2312"/>
        </w:rPr>
        <w:t>场，提供岗位信息</w:t>
      </w:r>
      <w:r>
        <w:t>1</w:t>
      </w:r>
      <w:r>
        <w:rPr>
          <w:rFonts w:hint="eastAsia" w:cs="仿宋_GB2312"/>
        </w:rPr>
        <w:t>万余</w:t>
      </w:r>
      <w:r>
        <w:rPr>
          <w:rFonts w:hint="eastAsia" w:ascii="仿宋_GB2312" w:hAnsi="仿宋_GB2312" w:cs="仿宋_GB2312"/>
        </w:rPr>
        <w:t>个，全年</w:t>
      </w:r>
      <w:r>
        <w:rPr>
          <w:rFonts w:hint="eastAsia" w:cs="仿宋_GB2312"/>
          <w:color w:val="000000"/>
        </w:rPr>
        <w:t>新增城镇就业</w:t>
      </w:r>
      <w:r>
        <w:rPr>
          <w:color w:val="000000"/>
        </w:rPr>
        <w:t>2.04</w:t>
      </w:r>
      <w:r>
        <w:rPr>
          <w:rFonts w:hint="eastAsia" w:cs="仿宋_GB2312"/>
          <w:color w:val="000000"/>
        </w:rPr>
        <w:t>万人。完成技能培训</w:t>
      </w:r>
      <w:r>
        <w:rPr>
          <w:color w:val="000000"/>
        </w:rPr>
        <w:t>6100</w:t>
      </w:r>
      <w:r>
        <w:rPr>
          <w:rFonts w:hint="eastAsia" w:cs="仿宋_GB2312"/>
          <w:color w:val="000000"/>
        </w:rPr>
        <w:t>人，发放创业担保贷款、就业补贴</w:t>
      </w:r>
      <w:r>
        <w:rPr>
          <w:color w:val="000000"/>
        </w:rPr>
        <w:t>2496</w:t>
      </w:r>
      <w:r>
        <w:rPr>
          <w:rFonts w:hint="eastAsia" w:cs="仿宋_GB2312"/>
          <w:color w:val="000000"/>
        </w:rPr>
        <w:t>万元。</w:t>
      </w:r>
    </w:p>
    <w:p w14:paraId="1E2E3349">
      <w:pPr>
        <w:spacing w:line="570" w:lineRule="exact"/>
        <w:ind w:firstLine="624" w:firstLineChars="200"/>
        <w:rPr>
          <w:color w:val="000000"/>
        </w:rPr>
      </w:pPr>
      <w:r>
        <w:rPr>
          <w:rFonts w:hint="eastAsia" w:cs="仿宋_GB2312"/>
          <w:b/>
          <w:bCs/>
          <w:color w:val="000000"/>
        </w:rPr>
        <w:t>养老服务稳步提升。</w:t>
      </w:r>
      <w:r>
        <w:rPr>
          <w:rFonts w:hint="eastAsia" w:cs="仿宋_GB2312"/>
          <w:color w:val="000000"/>
        </w:rPr>
        <w:t>扎实开展养老服务人才队伍素质能力提升工程，</w:t>
      </w:r>
      <w:r>
        <w:rPr>
          <w:color w:val="000000"/>
        </w:rPr>
        <w:t>99</w:t>
      </w:r>
      <w:r>
        <w:rPr>
          <w:rFonts w:hint="eastAsia" w:cs="仿宋_GB2312"/>
          <w:color w:val="000000"/>
        </w:rPr>
        <w:t>人取得职业技能等级证书；建成</w:t>
      </w:r>
      <w:r>
        <w:rPr>
          <w:color w:val="000000"/>
        </w:rPr>
        <w:t>185</w:t>
      </w:r>
      <w:r>
        <w:rPr>
          <w:rFonts w:hint="eastAsia" w:cs="仿宋_GB2312"/>
          <w:color w:val="000000"/>
        </w:rPr>
        <w:t>张家庭养老床位，石家庄市第一养老院已竣工，泰康之家</w:t>
      </w:r>
      <w:r>
        <w:rPr>
          <w:color w:val="000000"/>
        </w:rPr>
        <w:t>·</w:t>
      </w:r>
      <w:r>
        <w:rPr>
          <w:rFonts w:hint="eastAsia" w:cs="仿宋_GB2312"/>
          <w:color w:val="000000"/>
        </w:rPr>
        <w:t>冀园等养老项目加快推进。</w:t>
      </w:r>
    </w:p>
    <w:p w14:paraId="45AFC76A">
      <w:pPr>
        <w:spacing w:line="570" w:lineRule="exact"/>
        <w:ind w:firstLine="624" w:firstLineChars="200"/>
        <w:rPr>
          <w:color w:val="000000"/>
        </w:rPr>
      </w:pPr>
      <w:r>
        <w:rPr>
          <w:rFonts w:hint="eastAsia" w:cs="仿宋_GB2312"/>
          <w:b/>
          <w:bCs/>
          <w:color w:val="000000"/>
        </w:rPr>
        <w:t>教育事业扩容提质。</w:t>
      </w:r>
      <w:r>
        <w:rPr>
          <w:rFonts w:hint="eastAsia" w:cs="仿宋_GB2312"/>
          <w:color w:val="000000"/>
        </w:rPr>
        <w:t>持续推进优质教育资源普惠共享，全年新改扩建中小学、幼儿园</w:t>
      </w:r>
      <w:r>
        <w:rPr>
          <w:color w:val="000000"/>
        </w:rPr>
        <w:t>15</w:t>
      </w:r>
      <w:r>
        <w:rPr>
          <w:rFonts w:hint="eastAsia" w:cs="仿宋_GB2312"/>
          <w:color w:val="000000"/>
        </w:rPr>
        <w:t>所，增加学位</w:t>
      </w:r>
      <w:r>
        <w:rPr>
          <w:color w:val="000000"/>
        </w:rPr>
        <w:t>1.2</w:t>
      </w:r>
      <w:r>
        <w:rPr>
          <w:rFonts w:hint="eastAsia" w:cs="仿宋_GB2312"/>
          <w:color w:val="000000"/>
        </w:rPr>
        <w:t>万个。课后服务实现全覆盖，暑期托管试点服务学</w:t>
      </w:r>
      <w:r>
        <w:rPr>
          <w:rFonts w:hint="eastAsia" w:cs="仿宋_GB2312"/>
          <w:color w:val="000000"/>
          <w:spacing w:val="-10"/>
        </w:rPr>
        <w:t>生</w:t>
      </w:r>
      <w:r>
        <w:rPr>
          <w:color w:val="000000"/>
          <w:spacing w:val="-10"/>
        </w:rPr>
        <w:t>1.9</w:t>
      </w:r>
      <w:r>
        <w:rPr>
          <w:rFonts w:hint="eastAsia" w:cs="仿宋_GB2312"/>
          <w:color w:val="000000"/>
          <w:spacing w:val="-10"/>
        </w:rPr>
        <w:t>万</w:t>
      </w:r>
      <w:r>
        <w:rPr>
          <w:rFonts w:hint="eastAsia" w:cs="仿宋_GB2312"/>
          <w:color w:val="000000"/>
        </w:rPr>
        <w:t>人次。先后荣获河北省首批体教融合标杆创建县（区）等多项荣誉称号。</w:t>
      </w:r>
    </w:p>
    <w:p w14:paraId="13EB34F8">
      <w:pPr>
        <w:spacing w:line="570" w:lineRule="exact"/>
        <w:ind w:firstLine="624" w:firstLineChars="200"/>
        <w:rPr>
          <w:color w:val="000000"/>
        </w:rPr>
      </w:pPr>
      <w:r>
        <w:rPr>
          <w:rFonts w:hint="eastAsia" w:cs="仿宋_GB2312"/>
          <w:b/>
          <w:bCs/>
          <w:color w:val="000000"/>
        </w:rPr>
        <w:t>文体事业不断繁荣。</w:t>
      </w:r>
      <w:r>
        <w:rPr>
          <w:rFonts w:hint="eastAsia" w:cs="仿宋_GB2312"/>
          <w:color w:val="000000"/>
        </w:rPr>
        <w:t>举办文化惠民活动</w:t>
      </w:r>
      <w:r>
        <w:rPr>
          <w:color w:val="000000"/>
        </w:rPr>
        <w:t>242</w:t>
      </w:r>
      <w:r>
        <w:rPr>
          <w:rFonts w:hint="eastAsia" w:cs="仿宋_GB2312"/>
          <w:color w:val="000000"/>
        </w:rPr>
        <w:t>场次，</w:t>
      </w:r>
      <w:r>
        <w:rPr>
          <w:rFonts w:hint="eastAsia" w:ascii="仿宋_GB2312" w:hAnsi="仿宋_GB2312" w:cs="仿宋_GB2312"/>
        </w:rPr>
        <w:t>新建提升全民健身设施</w:t>
      </w:r>
      <w:r>
        <w:t>20</w:t>
      </w:r>
      <w:r>
        <w:rPr>
          <w:rFonts w:hint="eastAsia" w:ascii="仿宋_GB2312" w:hAnsi="仿宋_GB2312" w:cs="仿宋_GB2312"/>
        </w:rPr>
        <w:t>处</w:t>
      </w:r>
      <w:r>
        <w:rPr>
          <w:rFonts w:hint="eastAsia" w:cs="仿宋_GB2312"/>
          <w:color w:val="0000FF"/>
        </w:rPr>
        <w:t>、</w:t>
      </w:r>
      <w:r>
        <w:rPr>
          <w:rFonts w:hint="eastAsia" w:cs="仿宋_GB2312"/>
          <w:color w:val="000000"/>
        </w:rPr>
        <w:t>多功能运动场</w:t>
      </w:r>
      <w:r>
        <w:rPr>
          <w:color w:val="000000"/>
        </w:rPr>
        <w:t>3</w:t>
      </w:r>
      <w:r>
        <w:rPr>
          <w:rFonts w:hint="eastAsia" w:cs="仿宋_GB2312"/>
          <w:color w:val="000000"/>
        </w:rPr>
        <w:t>处，全区</w:t>
      </w:r>
      <w:r>
        <w:rPr>
          <w:color w:val="000000"/>
        </w:rPr>
        <w:t>16</w:t>
      </w:r>
      <w:r>
        <w:rPr>
          <w:rFonts w:hint="eastAsia" w:cs="仿宋_GB2312"/>
          <w:color w:val="000000"/>
        </w:rPr>
        <w:t>个街镇文化站通过共建共享均已达标，覆</w:t>
      </w:r>
      <w:r>
        <w:rPr>
          <w:rFonts w:hint="eastAsia" w:cs="仿宋_GB2312"/>
          <w:color w:val="000000"/>
          <w:spacing w:val="-12"/>
        </w:rPr>
        <w:t>盖率</w:t>
      </w:r>
      <w:r>
        <w:rPr>
          <w:color w:val="000000"/>
          <w:spacing w:val="-12"/>
        </w:rPr>
        <w:t>100%</w:t>
      </w:r>
      <w:r>
        <w:rPr>
          <w:rFonts w:hint="eastAsia" w:cs="仿宋_GB2312"/>
          <w:color w:val="000000"/>
        </w:rPr>
        <w:t>，所有社区全部建成综合性文化服务中心，达标率</w:t>
      </w:r>
      <w:r>
        <w:rPr>
          <w:color w:val="000000"/>
        </w:rPr>
        <w:t>100%</w:t>
      </w:r>
      <w:r>
        <w:rPr>
          <w:rFonts w:hint="eastAsia" w:cs="仿宋_GB2312"/>
          <w:color w:val="000000"/>
        </w:rPr>
        <w:t>。</w:t>
      </w:r>
    </w:p>
    <w:p w14:paraId="40B92828">
      <w:pPr>
        <w:spacing w:line="570" w:lineRule="exact"/>
        <w:ind w:firstLine="624" w:firstLineChars="200"/>
        <w:rPr>
          <w:color w:val="0000FF"/>
        </w:rPr>
      </w:pPr>
      <w:r>
        <w:rPr>
          <w:rFonts w:hint="eastAsia" w:cs="仿宋_GB2312"/>
          <w:b/>
          <w:bCs/>
          <w:color w:val="000000"/>
        </w:rPr>
        <w:t>健康事业深入推进。</w:t>
      </w:r>
      <w:r>
        <w:rPr>
          <w:rFonts w:hint="eastAsia" w:cs="仿宋_GB2312"/>
          <w:color w:val="000000"/>
        </w:rPr>
        <w:t>深入开展“优质服务基层行”活动</w:t>
      </w:r>
      <w:r>
        <w:rPr>
          <w:color w:val="000000"/>
        </w:rPr>
        <w:t>,</w:t>
      </w:r>
      <w:r>
        <w:rPr>
          <w:rFonts w:hint="eastAsia" w:cs="仿宋_GB2312"/>
          <w:color w:val="000000"/>
        </w:rPr>
        <w:t>创建社区医院</w:t>
      </w:r>
      <w:r>
        <w:rPr>
          <w:color w:val="000000"/>
        </w:rPr>
        <w:t>1</w:t>
      </w:r>
      <w:r>
        <w:rPr>
          <w:rFonts w:hint="eastAsia" w:cs="仿宋_GB2312"/>
          <w:color w:val="000000"/>
        </w:rPr>
        <w:t>家，做到</w:t>
      </w:r>
      <w:r>
        <w:rPr>
          <w:color w:val="000000"/>
        </w:rPr>
        <w:t>“</w:t>
      </w:r>
      <w:r>
        <w:rPr>
          <w:rFonts w:hint="eastAsia" w:cs="仿宋_GB2312"/>
          <w:color w:val="000000"/>
        </w:rPr>
        <w:t>以创改建、以创推建</w:t>
      </w:r>
      <w:r>
        <w:rPr>
          <w:color w:val="000000"/>
        </w:rPr>
        <w:t>”</w:t>
      </w:r>
      <w:r>
        <w:rPr>
          <w:rFonts w:hint="eastAsia" w:cs="仿宋_GB2312"/>
          <w:color w:val="000000"/>
        </w:rPr>
        <w:t>；继续推进基层医疗卫生机构</w:t>
      </w:r>
      <w:r>
        <w:rPr>
          <w:color w:val="000000"/>
        </w:rPr>
        <w:t>“</w:t>
      </w:r>
      <w:r>
        <w:rPr>
          <w:rFonts w:hint="eastAsia" w:cs="仿宋_GB2312"/>
          <w:color w:val="000000"/>
        </w:rPr>
        <w:t>一中心一特色，一站一亮点</w:t>
      </w:r>
      <w:r>
        <w:rPr>
          <w:color w:val="000000"/>
        </w:rPr>
        <w:t>”</w:t>
      </w:r>
      <w:r>
        <w:rPr>
          <w:rFonts w:hint="eastAsia" w:cs="仿宋_GB2312"/>
          <w:color w:val="000000"/>
        </w:rPr>
        <w:t>品牌建设，</w:t>
      </w:r>
      <w:r>
        <w:rPr>
          <w:spacing w:val="-12"/>
        </w:rPr>
        <w:t>9</w:t>
      </w:r>
      <w:r>
        <w:rPr>
          <w:rFonts w:hint="eastAsia" w:cs="仿宋_GB2312"/>
          <w:spacing w:val="-12"/>
        </w:rPr>
        <w:t>个特色</w:t>
      </w:r>
      <w:r>
        <w:rPr>
          <w:rFonts w:hint="eastAsia" w:cs="仿宋_GB2312"/>
        </w:rPr>
        <w:t>专科通过河北省基层特色专科验收，</w:t>
      </w:r>
      <w:r>
        <w:rPr>
          <w:rFonts w:hint="eastAsia" w:ascii="仿宋_GB2312" w:hAnsi="仿宋_GB2312" w:cs="仿宋_GB2312"/>
        </w:rPr>
        <w:t>数量位居全市第一</w:t>
      </w:r>
      <w:r>
        <w:rPr>
          <w:rFonts w:hint="eastAsia" w:cs="仿宋_GB2312"/>
          <w:color w:val="000000"/>
        </w:rPr>
        <w:t>；大力推动医育结合，</w:t>
      </w:r>
      <w:r>
        <w:rPr>
          <w:color w:val="000000"/>
        </w:rPr>
        <w:t>67</w:t>
      </w:r>
      <w:r>
        <w:rPr>
          <w:rFonts w:hint="eastAsia" w:cs="仿宋_GB2312"/>
          <w:color w:val="000000"/>
        </w:rPr>
        <w:t>家备案托育机构与医疗机构签约；深入推进医养结合，全区备案养老机构共</w:t>
      </w:r>
      <w:r>
        <w:rPr>
          <w:color w:val="000000"/>
        </w:rPr>
        <w:t>27</w:t>
      </w:r>
      <w:r>
        <w:rPr>
          <w:rFonts w:hint="eastAsia" w:cs="仿宋_GB2312"/>
          <w:color w:val="000000"/>
        </w:rPr>
        <w:t>家，医养结合服务率达到</w:t>
      </w:r>
      <w:r>
        <w:rPr>
          <w:color w:val="000000"/>
        </w:rPr>
        <w:t>100%</w:t>
      </w:r>
      <w:r>
        <w:rPr>
          <w:rFonts w:hint="eastAsia" w:cs="仿宋_GB2312"/>
          <w:color w:val="000000"/>
        </w:rPr>
        <w:t>，</w:t>
      </w:r>
      <w:r>
        <w:rPr>
          <w:rFonts w:hint="eastAsia" w:ascii="仿宋_GB2312" w:hAnsi="仿宋_GB2312" w:cs="仿宋_GB2312"/>
        </w:rPr>
        <w:t>成功创建</w:t>
      </w:r>
      <w:r>
        <w:t>1</w:t>
      </w:r>
      <w:r>
        <w:rPr>
          <w:rFonts w:hint="eastAsia" w:cs="仿宋_GB2312"/>
        </w:rPr>
        <w:t>家省级标准化社区医养结合服务中心</w:t>
      </w:r>
      <w:r>
        <w:rPr>
          <w:rFonts w:hint="eastAsia" w:cs="仿宋_GB2312"/>
          <w:color w:val="0000FF"/>
        </w:rPr>
        <w:t>。</w:t>
      </w:r>
    </w:p>
    <w:p w14:paraId="53D1C4CC">
      <w:pPr>
        <w:spacing w:line="570" w:lineRule="exact"/>
        <w:ind w:firstLine="624" w:firstLineChars="200"/>
        <w:rPr>
          <w:color w:val="000000"/>
          <w:kern w:val="0"/>
        </w:rPr>
      </w:pPr>
      <w:r>
        <w:rPr>
          <w:rFonts w:hint="eastAsia" w:cs="仿宋_GB2312"/>
          <w:b/>
          <w:bCs/>
          <w:color w:val="000000"/>
        </w:rPr>
        <w:t>社会保障有力有效。</w:t>
      </w:r>
      <w:r>
        <w:rPr>
          <w:color w:val="000000"/>
        </w:rPr>
        <w:t>16</w:t>
      </w:r>
      <w:r>
        <w:rPr>
          <w:rFonts w:hint="eastAsia" w:cs="仿宋_GB2312"/>
          <w:color w:val="000000"/>
        </w:rPr>
        <w:t>项民生工程、</w:t>
      </w:r>
      <w:r>
        <w:rPr>
          <w:color w:val="000000"/>
        </w:rPr>
        <w:t>10</w:t>
      </w:r>
      <w:r>
        <w:rPr>
          <w:rFonts w:hint="eastAsia" w:cs="仿宋_GB2312"/>
          <w:color w:val="000000"/>
        </w:rPr>
        <w:t>件民生实事圆满完成。救助低保、特困等人</w:t>
      </w:r>
      <w:r>
        <w:rPr>
          <w:rFonts w:hint="eastAsia" w:cs="仿宋_GB2312"/>
          <w:color w:val="000000"/>
          <w:spacing w:val="-10"/>
        </w:rPr>
        <w:t>员</w:t>
      </w:r>
      <w:r>
        <w:rPr>
          <w:color w:val="000000"/>
          <w:spacing w:val="-10"/>
        </w:rPr>
        <w:t>1.5</w:t>
      </w:r>
      <w:r>
        <w:rPr>
          <w:rFonts w:hint="eastAsia" w:cs="仿宋_GB2312"/>
          <w:color w:val="000000"/>
          <w:spacing w:val="-10"/>
        </w:rPr>
        <w:t>万</w:t>
      </w:r>
      <w:r>
        <w:rPr>
          <w:rFonts w:hint="eastAsia" w:cs="仿宋_GB2312"/>
          <w:color w:val="000000"/>
        </w:rPr>
        <w:t>人次，发放低保、特困、临时救助等各类资金</w:t>
      </w:r>
      <w:r>
        <w:rPr>
          <w:color w:val="000000"/>
        </w:rPr>
        <w:t>1060</w:t>
      </w:r>
      <w:r>
        <w:rPr>
          <w:rFonts w:hint="eastAsia" w:cs="仿宋_GB2312"/>
          <w:color w:val="000000"/>
        </w:rPr>
        <w:t>万元。为</w:t>
      </w:r>
      <w:r>
        <w:rPr>
          <w:color w:val="000000"/>
        </w:rPr>
        <w:t>617</w:t>
      </w:r>
      <w:r>
        <w:rPr>
          <w:rFonts w:hint="eastAsia" w:cs="仿宋_GB2312"/>
          <w:color w:val="000000"/>
        </w:rPr>
        <w:t>名残疾人提供基本康复服务，</w:t>
      </w:r>
      <w:r>
        <w:rPr>
          <w:color w:val="000000"/>
        </w:rPr>
        <w:t>492</w:t>
      </w:r>
      <w:r>
        <w:rPr>
          <w:rFonts w:hint="eastAsia" w:cs="仿宋_GB2312"/>
          <w:color w:val="000000"/>
        </w:rPr>
        <w:t>名残疾人适配辅助器具，落实各类补贴</w:t>
      </w:r>
      <w:r>
        <w:rPr>
          <w:color w:val="000000"/>
        </w:rPr>
        <w:t>506.8</w:t>
      </w:r>
      <w:r>
        <w:rPr>
          <w:rFonts w:hint="eastAsia" w:cs="仿宋_GB2312"/>
          <w:color w:val="000000"/>
        </w:rPr>
        <w:t>万元。发放退役军人优抚资金</w:t>
      </w:r>
      <w:r>
        <w:rPr>
          <w:color w:val="000000"/>
        </w:rPr>
        <w:t>5210</w:t>
      </w:r>
      <w:r>
        <w:rPr>
          <w:rFonts w:hint="eastAsia" w:cs="仿宋_GB2312"/>
          <w:color w:val="000000"/>
        </w:rPr>
        <w:t>万元。公共租赁住房配租</w:t>
      </w:r>
      <w:r>
        <w:rPr>
          <w:color w:val="000000"/>
        </w:rPr>
        <w:t>1331</w:t>
      </w:r>
      <w:r>
        <w:rPr>
          <w:rFonts w:hint="eastAsia" w:cs="仿宋_GB2312"/>
          <w:color w:val="000000"/>
        </w:rPr>
        <w:t>户，发放公租补贴</w:t>
      </w:r>
      <w:r>
        <w:rPr>
          <w:color w:val="000000"/>
        </w:rPr>
        <w:t>515.8</w:t>
      </w:r>
      <w:r>
        <w:rPr>
          <w:rFonts w:hint="eastAsia" w:cs="仿宋_GB2312"/>
          <w:color w:val="000000"/>
        </w:rPr>
        <w:t>万元。国防动员、民兵建设、审计监督、外事人防、信访稳定、妇女儿童等各项工作都取得了新成效。</w:t>
      </w:r>
    </w:p>
    <w:p w14:paraId="04E51A0D">
      <w:pPr>
        <w:spacing w:line="570" w:lineRule="exact"/>
        <w:ind w:firstLine="624" w:firstLineChars="200"/>
        <w:rPr>
          <w:color w:val="000000"/>
        </w:rPr>
      </w:pPr>
      <w:r>
        <w:rPr>
          <w:rFonts w:hint="eastAsia" w:cs="仿宋_GB2312"/>
          <w:color w:val="000000"/>
        </w:rPr>
        <w:t>在总结成绩的同时，我们也清醒看到经济社会发展中存在的问题</w:t>
      </w:r>
      <w:r>
        <w:rPr>
          <w:rFonts w:hint="eastAsia" w:cs="仿宋_GB2312"/>
          <w:b/>
          <w:bCs/>
          <w:color w:val="000000"/>
        </w:rPr>
        <w:t>。一是</w:t>
      </w:r>
      <w:r>
        <w:rPr>
          <w:rFonts w:hint="eastAsia" w:cs="仿宋_GB2312"/>
          <w:color w:val="000000"/>
        </w:rPr>
        <w:t>经济总量支撑还不稳固，固定资产投资、招商引资等指标总量基数较大，重大项目储备不足，实现高增速需积蓄更多动能；</w:t>
      </w:r>
      <w:r>
        <w:rPr>
          <w:rFonts w:hint="eastAsia" w:cs="仿宋_GB2312"/>
          <w:b/>
          <w:bCs/>
          <w:color w:val="000000"/>
        </w:rPr>
        <w:t>二是</w:t>
      </w:r>
      <w:r>
        <w:rPr>
          <w:rFonts w:hint="eastAsia" w:cs="仿宋_GB2312"/>
          <w:color w:val="000000"/>
        </w:rPr>
        <w:t>产业结构不优，产业层次较低，新兴产业带动能力不强，新旧动能转换不快，扩总量、提质量依然任重道远；</w:t>
      </w:r>
      <w:r>
        <w:rPr>
          <w:rFonts w:hint="eastAsia" w:cs="仿宋_GB2312"/>
          <w:b/>
          <w:bCs/>
          <w:color w:val="000000"/>
        </w:rPr>
        <w:t>三是</w:t>
      </w:r>
      <w:r>
        <w:rPr>
          <w:rFonts w:hint="eastAsia" w:cs="仿宋_GB2312"/>
          <w:color w:val="000000"/>
        </w:rPr>
        <w:t>大气污染防治任务依然艰巨，空气环境质量有待改善，污染防治网格化、精细化管理有待提升。</w:t>
      </w:r>
      <w:r>
        <w:rPr>
          <w:rFonts w:hint="eastAsia" w:cs="仿宋_GB2312"/>
          <w:b/>
          <w:bCs/>
          <w:color w:val="000000"/>
        </w:rPr>
        <w:t>四是</w:t>
      </w:r>
      <w:r>
        <w:rPr>
          <w:rFonts w:hint="eastAsia" w:cs="仿宋_GB2312"/>
          <w:color w:val="000000"/>
        </w:rPr>
        <w:t>社会保障和社会治理存在短板，教育、医疗、养老服务等民生领域供给与群众需求还有差距。对此，我们一定积极采取应对措施，真抓实干，主动作为，促进全区经济社会持续稳定健康发展。</w:t>
      </w:r>
    </w:p>
    <w:p w14:paraId="22189652">
      <w:pPr>
        <w:spacing w:line="570" w:lineRule="exact"/>
        <w:ind w:firstLine="624" w:firstLineChars="200"/>
        <w:rPr>
          <w:rFonts w:eastAsia="黑体"/>
          <w:color w:val="000000"/>
        </w:rPr>
      </w:pPr>
      <w:r>
        <w:rPr>
          <w:rFonts w:hint="eastAsia" w:eastAsia="黑体" w:cs="黑体"/>
          <w:color w:val="000000"/>
        </w:rPr>
        <w:t>二、</w:t>
      </w:r>
      <w:r>
        <w:rPr>
          <w:rFonts w:eastAsia="黑体"/>
          <w:color w:val="000000"/>
        </w:rPr>
        <w:t>2025</w:t>
      </w:r>
      <w:r>
        <w:rPr>
          <w:rFonts w:hint="eastAsia" w:eastAsia="黑体" w:cs="黑体"/>
          <w:color w:val="000000"/>
        </w:rPr>
        <w:t>年全区经济社会发展主要预期目标</w:t>
      </w:r>
    </w:p>
    <w:p w14:paraId="02053581">
      <w:pPr>
        <w:spacing w:line="570" w:lineRule="exact"/>
        <w:ind w:firstLine="624" w:firstLineChars="200"/>
        <w:rPr>
          <w:rFonts w:eastAsia="楷体_GB2312"/>
        </w:rPr>
      </w:pPr>
      <w:r>
        <w:rPr>
          <w:shd w:val="clear" w:color="auto" w:fill="FFFFFF"/>
        </w:rPr>
        <w:t>2025</w:t>
      </w:r>
      <w:r>
        <w:rPr>
          <w:rFonts w:hint="eastAsia" w:cs="仿宋_GB2312"/>
          <w:shd w:val="clear" w:color="auto" w:fill="FFFFFF"/>
        </w:rPr>
        <w:t>年是“十四五”规划收官之</w:t>
      </w:r>
      <w:r>
        <w:rPr>
          <w:rFonts w:hint="eastAsia" w:ascii="仿宋_GB2312" w:hAnsi="仿宋_GB2312" w:cs="仿宋_GB2312"/>
          <w:shd w:val="clear" w:color="auto" w:fill="FFFFFF"/>
        </w:rPr>
        <w:t>年</w:t>
      </w:r>
      <w:r>
        <w:rPr>
          <w:rFonts w:hint="eastAsia" w:cs="仿宋_GB2312"/>
          <w:shd w:val="clear" w:color="auto" w:fill="FFFFFF"/>
        </w:rPr>
        <w:t>，是</w:t>
      </w:r>
      <w:r>
        <w:rPr>
          <w:rFonts w:hint="eastAsia" w:ascii="仿宋_GB2312" w:hAnsi="仿宋_GB2312" w:cs="仿宋_GB2312"/>
        </w:rPr>
        <w:t>“十五五”规划谋篇布局之年。</w:t>
      </w:r>
      <w:r>
        <w:rPr>
          <w:rFonts w:hint="eastAsia"/>
          <w:shd w:val="clear" w:color="auto" w:fill="FFFFFF"/>
          <w:lang w:val="en-US" w:eastAsia="zh-CN"/>
        </w:rPr>
        <w:t>2025</w:t>
      </w:r>
      <w:r>
        <w:rPr>
          <w:rFonts w:hint="eastAsia" w:ascii="仿宋_GB2312" w:hAnsi="仿宋_GB2312" w:cs="仿宋_GB2312"/>
          <w:lang w:val="en-US" w:eastAsia="zh-CN"/>
        </w:rPr>
        <w:t>年</w:t>
      </w:r>
      <w:r>
        <w:rPr>
          <w:rFonts w:hint="eastAsia" w:cs="仿宋_GB2312"/>
        </w:rPr>
        <w:t>全区经济社会发展的总体要求是：</w:t>
      </w:r>
      <w:r>
        <w:rPr>
          <w:rFonts w:hint="eastAsia" w:eastAsia="楷体_GB2312" w:cs="楷体_GB2312"/>
        </w:rPr>
        <w:t>坚持以习近平新时代中国特色社会主义思想为指导，全面贯彻党的二十大和二十届二中、三中全会精神，深入贯彻习近平总书记视察河北、视察石家庄重要讲话和重要指示精神，深刻领会把握中央经济工作会议精神，全面落实省市和区委部署要求，坚持稳中求进工作总基调，完整准确全面贯彻新发展理念，积极服务和融入新发展格局，抓住用好京津冀协同发展重大机遇，扎实推动高质量发展，进一步全面深化改革，扩大高水平对外开放，建设现代化产业体系，更好统筹发展和安全，认真落实国家宏观政策，着力扩大有效需求，推动科技创新和产业创新融合发展，促进房地产市场止跌回稳，防范化解重点领域风险，稳定预期、激发活力，推动经济持续向好，不断提高人民生活水平，保持社会和谐稳定，高质量完成</w:t>
      </w:r>
      <w:r>
        <w:rPr>
          <w:rFonts w:eastAsia="楷体_GB2312"/>
        </w:rPr>
        <w:t>“</w:t>
      </w:r>
      <w:r>
        <w:rPr>
          <w:rFonts w:hint="eastAsia" w:eastAsia="楷体_GB2312" w:cs="楷体_GB2312"/>
        </w:rPr>
        <w:t>十四五</w:t>
      </w:r>
      <w:r>
        <w:rPr>
          <w:rFonts w:eastAsia="楷体_GB2312"/>
        </w:rPr>
        <w:t>”</w:t>
      </w:r>
      <w:r>
        <w:rPr>
          <w:rFonts w:hint="eastAsia" w:eastAsia="楷体_GB2312" w:cs="楷体_GB2312"/>
        </w:rPr>
        <w:t>规划目标任务，为实现</w:t>
      </w:r>
      <w:r>
        <w:rPr>
          <w:rFonts w:eastAsia="楷体_GB2312"/>
        </w:rPr>
        <w:t>“</w:t>
      </w:r>
      <w:r>
        <w:rPr>
          <w:rFonts w:hint="eastAsia" w:eastAsia="楷体_GB2312" w:cs="楷体_GB2312"/>
        </w:rPr>
        <w:t>十五五</w:t>
      </w:r>
      <w:r>
        <w:rPr>
          <w:rFonts w:eastAsia="楷体_GB2312"/>
        </w:rPr>
        <w:t>”</w:t>
      </w:r>
      <w:r>
        <w:rPr>
          <w:rFonts w:hint="eastAsia" w:eastAsia="楷体_GB2312" w:cs="楷体_GB2312"/>
        </w:rPr>
        <w:t>良好开局打牢基础，加快建设经济强区、美丽长安。</w:t>
      </w:r>
    </w:p>
    <w:p w14:paraId="2737645A">
      <w:pPr>
        <w:spacing w:line="570" w:lineRule="exact"/>
        <w:ind w:firstLine="624" w:firstLineChars="200"/>
        <w:rPr>
          <w:color w:val="000000"/>
        </w:rPr>
      </w:pPr>
      <w:r>
        <w:rPr>
          <w:rFonts w:hint="eastAsia" w:cs="仿宋_GB2312"/>
          <w:color w:val="000000"/>
        </w:rPr>
        <w:t>全区经济发展的主要预期目标是：</w:t>
      </w:r>
      <w:r>
        <w:rPr>
          <w:rFonts w:hint="eastAsia" w:cs="仿宋_GB2312"/>
          <w:color w:val="000000"/>
          <w:spacing w:val="-10"/>
        </w:rPr>
        <w:t>地区生产总值增长</w:t>
      </w:r>
      <w:r>
        <w:rPr>
          <w:color w:val="000000"/>
          <w:spacing w:val="-10"/>
        </w:rPr>
        <w:t>5%</w:t>
      </w:r>
      <w:r>
        <w:rPr>
          <w:rFonts w:hint="eastAsia" w:cs="仿宋_GB2312"/>
          <w:color w:val="000000"/>
          <w:spacing w:val="-10"/>
        </w:rPr>
        <w:t>左</w:t>
      </w:r>
      <w:r>
        <w:rPr>
          <w:rFonts w:hint="eastAsia" w:cs="仿宋_GB2312"/>
          <w:color w:val="000000"/>
        </w:rPr>
        <w:t>右，固定资产投</w:t>
      </w:r>
      <w:r>
        <w:rPr>
          <w:rFonts w:hint="eastAsia" w:cs="仿宋_GB2312"/>
          <w:color w:val="000000"/>
          <w:spacing w:val="-10"/>
        </w:rPr>
        <w:t>资增长</w:t>
      </w:r>
      <w:r>
        <w:rPr>
          <w:color w:val="000000"/>
        </w:rPr>
        <w:t>7%</w:t>
      </w:r>
      <w:r>
        <w:rPr>
          <w:rFonts w:hint="eastAsia" w:cs="仿宋_GB2312"/>
          <w:color w:val="000000"/>
          <w:spacing w:val="-10"/>
        </w:rPr>
        <w:t>左右，规上工业增加值增长</w:t>
      </w:r>
      <w:r>
        <w:rPr>
          <w:color w:val="000000"/>
          <w:spacing w:val="-10"/>
        </w:rPr>
        <w:t>3%</w:t>
      </w:r>
      <w:r>
        <w:rPr>
          <w:rFonts w:hint="eastAsia" w:cs="仿宋_GB2312"/>
          <w:color w:val="000000"/>
          <w:spacing w:val="-10"/>
        </w:rPr>
        <w:t>以</w:t>
      </w:r>
      <w:r>
        <w:rPr>
          <w:rFonts w:hint="eastAsia" w:cs="仿宋_GB2312"/>
          <w:color w:val="000000"/>
        </w:rPr>
        <w:t>上，社会消费品零售总额增长</w:t>
      </w:r>
      <w:r>
        <w:rPr>
          <w:color w:val="000000"/>
        </w:rPr>
        <w:t>5%</w:t>
      </w:r>
      <w:r>
        <w:rPr>
          <w:rFonts w:hint="eastAsia" w:cs="仿宋_GB2312"/>
          <w:color w:val="000000"/>
        </w:rPr>
        <w:t>左右，一般公共预算收入增长</w:t>
      </w:r>
      <w:r>
        <w:rPr>
          <w:color w:val="000000"/>
        </w:rPr>
        <w:t>5%</w:t>
      </w:r>
      <w:r>
        <w:rPr>
          <w:rFonts w:hint="eastAsia" w:cs="仿宋_GB2312"/>
          <w:color w:val="000000"/>
        </w:rPr>
        <w:t>左右，居民人均可支配收入增长</w:t>
      </w:r>
      <w:r>
        <w:rPr>
          <w:color w:val="000000"/>
        </w:rPr>
        <w:t>6%</w:t>
      </w:r>
      <w:r>
        <w:rPr>
          <w:rFonts w:hint="eastAsia" w:cs="仿宋_GB2312"/>
          <w:color w:val="000000"/>
        </w:rPr>
        <w:t>左右。</w:t>
      </w:r>
    </w:p>
    <w:p w14:paraId="0DFB7577">
      <w:pPr>
        <w:spacing w:line="570" w:lineRule="exact"/>
        <w:ind w:firstLine="624" w:firstLineChars="200"/>
        <w:rPr>
          <w:rFonts w:eastAsia="黑体"/>
          <w:color w:val="000000"/>
        </w:rPr>
      </w:pPr>
      <w:r>
        <w:rPr>
          <w:rFonts w:hint="eastAsia" w:eastAsia="黑体" w:cs="黑体"/>
          <w:color w:val="000000"/>
        </w:rPr>
        <w:t>三、</w:t>
      </w:r>
      <w:r>
        <w:rPr>
          <w:rFonts w:eastAsia="黑体"/>
          <w:color w:val="000000"/>
        </w:rPr>
        <w:t>2025</w:t>
      </w:r>
      <w:r>
        <w:rPr>
          <w:rFonts w:hint="eastAsia" w:eastAsia="黑体" w:cs="黑体"/>
          <w:color w:val="000000"/>
        </w:rPr>
        <w:t>年全区重点工作和主要措施</w:t>
      </w:r>
    </w:p>
    <w:p w14:paraId="3B97C2DF">
      <w:pPr>
        <w:spacing w:line="570" w:lineRule="exact"/>
        <w:ind w:firstLine="624" w:firstLineChars="200"/>
        <w:rPr>
          <w:color w:val="000000"/>
        </w:rPr>
      </w:pPr>
      <w:r>
        <w:rPr>
          <w:color w:val="000000"/>
        </w:rPr>
        <w:t>2025</w:t>
      </w:r>
      <w:r>
        <w:rPr>
          <w:rFonts w:hint="eastAsia" w:cs="仿宋_GB2312"/>
          <w:color w:val="000000"/>
        </w:rPr>
        <w:t>年，我区将全面贯彻党的二十大和二十届二中、三中全会精神，认真落实中央经济工作会议要求，把思想和行动统一到市委、市政府和区委、区政府决策部署上来，坚持稳中求进工作总基调，全面贯彻新发展理念，推动全区经济社会高质量发展，实现经济行稳致远、社会安定和谐，不断增强人民群众获得感、幸福感、安全感。</w:t>
      </w:r>
    </w:p>
    <w:p w14:paraId="581ABB4A">
      <w:pPr>
        <w:spacing w:line="570" w:lineRule="exact"/>
        <w:ind w:firstLine="624" w:firstLineChars="200"/>
        <w:rPr>
          <w:rFonts w:eastAsia="楷体_GB2312"/>
          <w:color w:val="000000"/>
        </w:rPr>
      </w:pPr>
      <w:r>
        <w:rPr>
          <w:rFonts w:hint="eastAsia" w:eastAsia="楷体_GB2312" w:cs="楷体_GB2312"/>
          <w:color w:val="000000"/>
        </w:rPr>
        <w:t>（一）筑牢发展基础，促进经济跨越赶超</w:t>
      </w:r>
    </w:p>
    <w:p w14:paraId="3AED7079">
      <w:pPr>
        <w:spacing w:line="570" w:lineRule="exact"/>
        <w:ind w:firstLine="624" w:firstLineChars="200"/>
        <w:rPr>
          <w:color w:val="000000"/>
        </w:rPr>
      </w:pPr>
      <w:r>
        <w:rPr>
          <w:rFonts w:hint="eastAsia" w:cs="仿宋_GB2312"/>
          <w:color w:val="000000"/>
        </w:rPr>
        <w:t>充分发挥项目引领、消费支撑作用，坚定不移夯实经济发展基础，为高质量发展蓄势积能。</w:t>
      </w:r>
    </w:p>
    <w:p w14:paraId="67BE6241">
      <w:pPr>
        <w:spacing w:line="570" w:lineRule="exact"/>
        <w:ind w:firstLine="624" w:firstLineChars="200"/>
        <w:rPr>
          <w:color w:val="000000"/>
          <w:shd w:val="clear" w:color="auto" w:fill="FFFFFF"/>
        </w:rPr>
      </w:pPr>
      <w:r>
        <w:rPr>
          <w:rFonts w:hint="eastAsia" w:cs="仿宋_GB2312"/>
          <w:b/>
          <w:bCs/>
          <w:color w:val="000000"/>
          <w:lang w:val="zh-TW"/>
        </w:rPr>
        <w:t>强力推进项目建设。</w:t>
      </w:r>
      <w:r>
        <w:rPr>
          <w:rFonts w:hint="eastAsia" w:cs="仿宋_GB2312"/>
          <w:color w:val="000000"/>
        </w:rPr>
        <w:t>全年储备谋划项目</w:t>
      </w:r>
      <w:r>
        <w:rPr>
          <w:color w:val="000000"/>
        </w:rPr>
        <w:t>212</w:t>
      </w:r>
      <w:r>
        <w:rPr>
          <w:rFonts w:hint="eastAsia" w:cs="仿宋_GB2312"/>
          <w:color w:val="000000"/>
        </w:rPr>
        <w:t>个，其中拟开工项目</w:t>
      </w:r>
      <w:r>
        <w:rPr>
          <w:color w:val="000000"/>
        </w:rPr>
        <w:t>69</w:t>
      </w:r>
      <w:r>
        <w:rPr>
          <w:rFonts w:hint="eastAsia" w:cs="仿宋_GB2312"/>
          <w:color w:val="000000"/>
        </w:rPr>
        <w:t>个、续建项目</w:t>
      </w:r>
      <w:r>
        <w:rPr>
          <w:color w:val="000000"/>
        </w:rPr>
        <w:t>109</w:t>
      </w:r>
      <w:r>
        <w:rPr>
          <w:rFonts w:hint="eastAsia" w:cs="仿宋_GB2312"/>
          <w:color w:val="000000"/>
        </w:rPr>
        <w:t>个、谋划项目</w:t>
      </w:r>
      <w:r>
        <w:rPr>
          <w:color w:val="000000"/>
        </w:rPr>
        <w:t>34</w:t>
      </w:r>
      <w:r>
        <w:rPr>
          <w:rFonts w:hint="eastAsia" w:cs="仿宋_GB2312"/>
          <w:color w:val="000000"/>
        </w:rPr>
        <w:t>个。纳入省市重点项目</w:t>
      </w:r>
      <w:r>
        <w:rPr>
          <w:color w:val="000000"/>
        </w:rPr>
        <w:t>10</w:t>
      </w:r>
      <w:r>
        <w:rPr>
          <w:rFonts w:hint="eastAsia" w:cs="仿宋_GB2312"/>
          <w:color w:val="000000"/>
        </w:rPr>
        <w:t>个以上，投资规模</w:t>
      </w:r>
      <w:r>
        <w:rPr>
          <w:color w:val="000000"/>
        </w:rPr>
        <w:t>100</w:t>
      </w:r>
      <w:r>
        <w:rPr>
          <w:rFonts w:hint="eastAsia" w:cs="仿宋_GB2312"/>
          <w:color w:val="000000"/>
        </w:rPr>
        <w:t>亿以上，全年谋划储备省市重点前期项目</w:t>
      </w:r>
      <w:r>
        <w:rPr>
          <w:color w:val="000000"/>
        </w:rPr>
        <w:t>5</w:t>
      </w:r>
      <w:r>
        <w:rPr>
          <w:rFonts w:hint="eastAsia" w:cs="仿宋_GB2312"/>
          <w:color w:val="000000"/>
        </w:rPr>
        <w:t>个以上，保证全区项目储备不断档、可持续。落实</w:t>
      </w:r>
      <w:r>
        <w:rPr>
          <w:color w:val="000000"/>
        </w:rPr>
        <w:t>“</w:t>
      </w:r>
      <w:r>
        <w:rPr>
          <w:rFonts w:hint="eastAsia" w:cs="仿宋_GB2312"/>
          <w:color w:val="000000"/>
        </w:rPr>
        <w:t>五个一</w:t>
      </w:r>
      <w:r>
        <w:rPr>
          <w:color w:val="000000"/>
        </w:rPr>
        <w:t>”</w:t>
      </w:r>
      <w:r>
        <w:rPr>
          <w:rFonts w:hint="eastAsia" w:cs="仿宋_GB2312"/>
          <w:color w:val="000000"/>
        </w:rPr>
        <w:t>工作机制，明确</w:t>
      </w:r>
      <w:r>
        <w:rPr>
          <w:color w:val="000000"/>
        </w:rPr>
        <w:t>“</w:t>
      </w:r>
      <w:r>
        <w:rPr>
          <w:rFonts w:hint="eastAsia" w:cs="仿宋_GB2312"/>
          <w:color w:val="000000"/>
        </w:rPr>
        <w:t>四个干</w:t>
      </w:r>
      <w:r>
        <w:rPr>
          <w:color w:val="000000"/>
        </w:rPr>
        <w:t>”</w:t>
      </w:r>
      <w:r>
        <w:rPr>
          <w:rFonts w:hint="eastAsia" w:cs="仿宋_GB2312"/>
          <w:color w:val="000000"/>
        </w:rPr>
        <w:t>工作清单，凝聚合力加快项目建设。重点加快数字金融产业园、中石化工技术研发中心等落地项目建设进度，充分发挥大型产业类项目对全区经济的支撑作用；加大资金争取力度，</w:t>
      </w:r>
      <w:r>
        <w:rPr>
          <w:color w:val="000000"/>
        </w:rPr>
        <w:t>2025</w:t>
      </w:r>
      <w:r>
        <w:rPr>
          <w:rFonts w:hint="eastAsia" w:cs="仿宋_GB2312"/>
          <w:color w:val="000000"/>
        </w:rPr>
        <w:t>年全年谋划申报地方政府专</w:t>
      </w:r>
      <w:r>
        <w:rPr>
          <w:rFonts w:hint="eastAsia" w:cs="仿宋_GB2312"/>
          <w:color w:val="000000"/>
          <w:shd w:val="clear" w:color="auto" w:fill="FFFFFF"/>
        </w:rPr>
        <w:t>项债券、超长期国债、中央预算内资金项目</w:t>
      </w:r>
      <w:r>
        <w:rPr>
          <w:color w:val="000000"/>
        </w:rPr>
        <w:t>20</w:t>
      </w:r>
      <w:r>
        <w:rPr>
          <w:rFonts w:hint="eastAsia" w:cs="仿宋_GB2312"/>
          <w:color w:val="000000"/>
          <w:shd w:val="clear" w:color="auto" w:fill="FFFFFF"/>
        </w:rPr>
        <w:t>个以上。</w:t>
      </w:r>
    </w:p>
    <w:p w14:paraId="107BD1A8">
      <w:pPr>
        <w:spacing w:line="570" w:lineRule="exact"/>
        <w:ind w:firstLine="624" w:firstLineChars="200"/>
        <w:rPr>
          <w:color w:val="000000"/>
        </w:rPr>
      </w:pPr>
      <w:r>
        <w:rPr>
          <w:rFonts w:hint="eastAsia" w:cs="仿宋_GB2312"/>
          <w:b/>
          <w:bCs/>
          <w:color w:val="000000"/>
        </w:rPr>
        <w:t>大力</w:t>
      </w:r>
      <w:r>
        <w:rPr>
          <w:rFonts w:hint="eastAsia" w:cs="仿宋_GB2312"/>
          <w:b/>
          <w:bCs/>
          <w:color w:val="000000"/>
          <w:lang w:val="zh-TW"/>
        </w:rPr>
        <w:t>加强招商引资。</w:t>
      </w:r>
      <w:r>
        <w:rPr>
          <w:rFonts w:hint="eastAsia" w:cs="仿宋_GB2312"/>
          <w:color w:val="000000"/>
        </w:rPr>
        <w:t>用好《更上一层楼》《图索长安》产业招商地图，对接央企、国企和</w:t>
      </w:r>
      <w:r>
        <w:rPr>
          <w:color w:val="000000"/>
        </w:rPr>
        <w:t>500</w:t>
      </w:r>
      <w:r>
        <w:rPr>
          <w:rFonts w:hint="eastAsia" w:cs="仿宋_GB2312"/>
          <w:color w:val="000000"/>
        </w:rPr>
        <w:t>强企业，紧盯重点产业，做好谋划储备，紧紧围绕</w:t>
      </w:r>
      <w:r>
        <w:rPr>
          <w:color w:val="000000"/>
        </w:rPr>
        <w:t>“</w:t>
      </w:r>
      <w:r>
        <w:rPr>
          <w:rFonts w:hint="eastAsia" w:cs="仿宋_GB2312"/>
          <w:color w:val="000000"/>
        </w:rPr>
        <w:t>六支撑</w:t>
      </w:r>
      <w:r>
        <w:rPr>
          <w:color w:val="000000"/>
        </w:rPr>
        <w:t>”</w:t>
      </w:r>
      <w:r>
        <w:rPr>
          <w:rFonts w:hint="eastAsia" w:cs="仿宋_GB2312"/>
          <w:color w:val="000000"/>
        </w:rPr>
        <w:t>产业发展，聚焦产业链关键环节，认真分析我区的坐标定位，开展定向招商、填空招商、点对点招商，动态对接储备一批补链强链延链项目，全年新引进亿元以上优质产业项目</w:t>
      </w:r>
      <w:r>
        <w:rPr>
          <w:color w:val="000000"/>
        </w:rPr>
        <w:t>10</w:t>
      </w:r>
      <w:r>
        <w:rPr>
          <w:rFonts w:hint="eastAsia" w:cs="仿宋_GB2312"/>
          <w:color w:val="000000"/>
        </w:rPr>
        <w:t>个以上，为我区高质量发展提供强大动力。</w:t>
      </w:r>
    </w:p>
    <w:p w14:paraId="7FA3C6A7">
      <w:pPr>
        <w:spacing w:line="570" w:lineRule="exact"/>
        <w:ind w:firstLine="624" w:firstLineChars="200"/>
        <w:rPr>
          <w:color w:val="000000"/>
        </w:rPr>
      </w:pPr>
      <w:r>
        <w:rPr>
          <w:rFonts w:hint="eastAsia" w:cs="仿宋_GB2312"/>
          <w:b/>
          <w:bCs/>
          <w:color w:val="000000"/>
        </w:rPr>
        <w:t>深度</w:t>
      </w:r>
      <w:r>
        <w:rPr>
          <w:rFonts w:hint="eastAsia" w:cs="仿宋_GB2312"/>
          <w:b/>
          <w:bCs/>
          <w:color w:val="000000"/>
          <w:lang w:val="zh-TW"/>
        </w:rPr>
        <w:t>挖掘消费潜力。</w:t>
      </w:r>
      <w:r>
        <w:rPr>
          <w:rFonts w:hint="eastAsia" w:cs="仿宋_GB2312"/>
          <w:color w:val="000000"/>
        </w:rPr>
        <w:t>积极构建我区多业态融合的新型消费场景，推动文化、旅游、体育、娱乐等多业态与传统促销活动的深度融合，着力培育</w:t>
      </w:r>
      <w:r>
        <w:rPr>
          <w:color w:val="000000"/>
        </w:rPr>
        <w:t>“</w:t>
      </w:r>
      <w:r>
        <w:rPr>
          <w:rFonts w:hint="eastAsia" w:cs="仿宋_GB2312"/>
          <w:color w:val="000000"/>
        </w:rPr>
        <w:t>首发经济</w:t>
      </w:r>
      <w:r>
        <w:rPr>
          <w:color w:val="000000"/>
        </w:rPr>
        <w:t>”“</w:t>
      </w:r>
      <w:r>
        <w:rPr>
          <w:rFonts w:hint="eastAsia" w:cs="仿宋_GB2312"/>
          <w:color w:val="000000"/>
        </w:rPr>
        <w:t>银发经济</w:t>
      </w:r>
      <w:r>
        <w:rPr>
          <w:color w:val="000000"/>
        </w:rPr>
        <w:t>”</w:t>
      </w:r>
      <w:r>
        <w:rPr>
          <w:rFonts w:hint="eastAsia" w:cs="仿宋_GB2312"/>
          <w:color w:val="000000"/>
        </w:rPr>
        <w:t>等新型消费模式，持续提升各类促销活动的社交性、互动性，最大限度满足现阶段消费者对于新型消费模式的需求。深入实施提振消费专项行动，落实</w:t>
      </w:r>
      <w:r>
        <w:rPr>
          <w:color w:val="000000"/>
        </w:rPr>
        <w:t>“</w:t>
      </w:r>
      <w:r>
        <w:rPr>
          <w:rFonts w:hint="eastAsia" w:cs="仿宋_GB2312"/>
          <w:color w:val="000000"/>
        </w:rPr>
        <w:t>两新</w:t>
      </w:r>
      <w:r>
        <w:rPr>
          <w:color w:val="000000"/>
        </w:rPr>
        <w:t>”</w:t>
      </w:r>
      <w:r>
        <w:rPr>
          <w:rFonts w:hint="eastAsia" w:cs="仿宋_GB2312"/>
          <w:color w:val="000000"/>
        </w:rPr>
        <w:t>政策支持力度，多频次组织开展互动性、参与性的促销活动，进一步积累人气客流，营造出浓厚的消费氛围，巩固我区在全市消费市场的龙头地位。</w:t>
      </w:r>
    </w:p>
    <w:p w14:paraId="39D1483C">
      <w:pPr>
        <w:spacing w:line="570" w:lineRule="exact"/>
        <w:ind w:firstLine="624" w:firstLineChars="200"/>
        <w:rPr>
          <w:rFonts w:eastAsia="楷体_GB2312"/>
          <w:color w:val="000000"/>
        </w:rPr>
      </w:pPr>
      <w:r>
        <w:rPr>
          <w:rFonts w:hint="eastAsia" w:eastAsia="楷体_GB2312" w:cs="楷体_GB2312"/>
          <w:color w:val="000000"/>
        </w:rPr>
        <w:t>（二）聚焦转型升级，构建现代产业新格局</w:t>
      </w:r>
    </w:p>
    <w:p w14:paraId="0BFAFF0E">
      <w:pPr>
        <w:spacing w:line="570" w:lineRule="exact"/>
        <w:ind w:firstLine="624" w:firstLineChars="200"/>
        <w:rPr>
          <w:color w:val="000000"/>
        </w:rPr>
      </w:pPr>
      <w:r>
        <w:rPr>
          <w:rFonts w:hint="eastAsia" w:cs="仿宋_GB2312"/>
          <w:color w:val="000000"/>
        </w:rPr>
        <w:t>提前谋划</w:t>
      </w:r>
      <w:r>
        <w:rPr>
          <w:color w:val="000000"/>
        </w:rPr>
        <w:t>“</w:t>
      </w:r>
      <w:r>
        <w:rPr>
          <w:rFonts w:hint="eastAsia" w:cs="仿宋_GB2312"/>
          <w:color w:val="000000"/>
        </w:rPr>
        <w:t>十五五</w:t>
      </w:r>
      <w:r>
        <w:rPr>
          <w:color w:val="000000"/>
        </w:rPr>
        <w:t>”</w:t>
      </w:r>
      <w:r>
        <w:rPr>
          <w:rFonts w:hint="eastAsia" w:cs="仿宋_GB2312"/>
          <w:color w:val="000000"/>
        </w:rPr>
        <w:t>规划基本思路，深入实施创新驱动发展战略，推动产业转型升级、创新发展，加快建设现代化产业体系。</w:t>
      </w:r>
    </w:p>
    <w:p w14:paraId="1CC792ED">
      <w:pPr>
        <w:spacing w:line="570" w:lineRule="exact"/>
        <w:ind w:firstLine="624" w:firstLineChars="200"/>
        <w:rPr>
          <w:color w:val="000000"/>
        </w:rPr>
      </w:pPr>
      <w:r>
        <w:rPr>
          <w:rFonts w:hint="eastAsia" w:cs="仿宋_GB2312"/>
          <w:b/>
          <w:bCs/>
          <w:color w:val="000000"/>
        </w:rPr>
        <w:t>提升企业综合竞争力。</w:t>
      </w:r>
      <w:r>
        <w:rPr>
          <w:rFonts w:hint="eastAsia" w:cs="仿宋_GB2312"/>
          <w:color w:val="000000"/>
        </w:rPr>
        <w:t>锚定新能源、新材料、高端装备制造等产业，全面梳理全区产值</w:t>
      </w:r>
      <w:r>
        <w:rPr>
          <w:color w:val="000000"/>
        </w:rPr>
        <w:t>1000</w:t>
      </w:r>
      <w:r>
        <w:rPr>
          <w:rFonts w:hint="eastAsia" w:cs="仿宋_GB2312"/>
          <w:color w:val="000000"/>
        </w:rPr>
        <w:t>万以上优质中小企业、产业企业，纳入企业培育库，跟踪了解经营状况，全面落实减税降费、技改专项资金扶持等惠企政策，助推企业升规入统，不断增强企业核心竞争力。鼓励华北制药、奥星制药等重点企业加大研发投入、加快新产品开发，进一步提高生产效率。引导传统企业开展数字化转型，提高产品附加值，创新高效运营模式，提高工业经济的整体质量和效益。</w:t>
      </w:r>
    </w:p>
    <w:p w14:paraId="4EBFAF3E">
      <w:pPr>
        <w:spacing w:line="570" w:lineRule="exact"/>
        <w:ind w:firstLine="624" w:firstLineChars="200"/>
        <w:rPr>
          <w:color w:val="000000"/>
        </w:rPr>
      </w:pPr>
      <w:r>
        <w:rPr>
          <w:rFonts w:hint="eastAsia" w:cs="仿宋_GB2312"/>
          <w:b/>
          <w:bCs/>
          <w:color w:val="000000"/>
        </w:rPr>
        <w:t>推动科技企业发展壮大</w:t>
      </w:r>
      <w:r>
        <w:rPr>
          <w:rFonts w:hint="eastAsia" w:eastAsia="楷体_GB2312" w:cs="楷体_GB2312"/>
          <w:color w:val="000000"/>
        </w:rPr>
        <w:t>。</w:t>
      </w:r>
      <w:r>
        <w:rPr>
          <w:rFonts w:hint="eastAsia" w:cs="仿宋_GB2312"/>
          <w:color w:val="000000"/>
          <w:kern w:val="0"/>
        </w:rPr>
        <w:t>加大优质科研平台项目挖掘力度，</w:t>
      </w:r>
      <w:r>
        <w:rPr>
          <w:rFonts w:hint="eastAsia" w:cs="仿宋_GB2312"/>
          <w:color w:val="000000"/>
        </w:rPr>
        <w:t>鼓励企业以技术需求为导向，加大资金、人员投入力度，积极争取省、市各类科技项目经费支持。指导奥星制药等符合平台建设基础条件的单位做好申报前期筹备，强化对立项项目、平台项目的运营绩效监管。配齐配强科技管理队伍，健全科技服务网络，提升科技服务水平，构建常态化技术供需对接、体系化服务的工作机制，为企业创新提供精准持续的科技和智力支撑，促进县域科技创新能力争先进位。加强与京津高校对接合作，吸引央企总部及二三级子公司或创新业务板块落地，促进更多科技成果在长安转化。</w:t>
      </w:r>
    </w:p>
    <w:p w14:paraId="7D38DD42">
      <w:pPr>
        <w:spacing w:line="570" w:lineRule="exact"/>
        <w:ind w:firstLine="624" w:firstLineChars="200"/>
        <w:rPr>
          <w:color w:val="000000"/>
        </w:rPr>
      </w:pPr>
      <w:r>
        <w:rPr>
          <w:rFonts w:hint="eastAsia" w:cs="仿宋_GB2312"/>
          <w:b/>
          <w:bCs/>
          <w:color w:val="000000"/>
        </w:rPr>
        <w:t>加强创新人才引育</w:t>
      </w:r>
      <w:r>
        <w:rPr>
          <w:rFonts w:hint="eastAsia" w:cs="仿宋_GB2312"/>
          <w:color w:val="000000"/>
        </w:rPr>
        <w:t>。深入实施</w:t>
      </w:r>
      <w:r>
        <w:rPr>
          <w:color w:val="000000"/>
        </w:rPr>
        <w:t>“</w:t>
      </w:r>
      <w:r>
        <w:rPr>
          <w:rFonts w:hint="eastAsia" w:cs="仿宋_GB2312"/>
          <w:color w:val="000000"/>
        </w:rPr>
        <w:t>人才强区</w:t>
      </w:r>
      <w:r>
        <w:rPr>
          <w:color w:val="000000"/>
        </w:rPr>
        <w:t>”</w:t>
      </w:r>
      <w:r>
        <w:rPr>
          <w:rFonts w:hint="eastAsia" w:cs="仿宋_GB2312"/>
          <w:color w:val="000000"/>
        </w:rPr>
        <w:t>战略，持续推进青年友好型城区建设，真心实意做好服务保障，吸引人才带着项目、团队和技术在我区落地转化。聚焦产业发展规划、企业成长需求，对接省内外高校，扎实做好人才引进、对口委培、后期培训等综合素质提升工作，切实增强原始创新供给能力，为科技创新、产业升级提供智力支撑。持续加强政、校、企三方合作交流，聚焦企业人才需求，持续开展</w:t>
      </w:r>
      <w:r>
        <w:rPr>
          <w:color w:val="000000"/>
        </w:rPr>
        <w:t>“</w:t>
      </w:r>
      <w:r>
        <w:rPr>
          <w:rFonts w:hint="eastAsia" w:cs="仿宋_GB2312"/>
          <w:color w:val="000000"/>
        </w:rPr>
        <w:t>进百企</w:t>
      </w:r>
      <w:r>
        <w:rPr>
          <w:color w:val="000000"/>
        </w:rPr>
        <w:t>”</w:t>
      </w:r>
      <w:r>
        <w:rPr>
          <w:rFonts w:hint="eastAsia" w:cs="仿宋_GB2312"/>
          <w:color w:val="000000"/>
        </w:rPr>
        <w:t>、进高校等人才政策宣讲活动，促进企事业单位与高校毕业生精准对接。</w:t>
      </w:r>
    </w:p>
    <w:p w14:paraId="35B8D764">
      <w:pPr>
        <w:spacing w:line="570" w:lineRule="exact"/>
        <w:ind w:firstLine="624" w:firstLineChars="200"/>
        <w:rPr>
          <w:rFonts w:eastAsia="楷体_GB2312"/>
          <w:color w:val="000000"/>
        </w:rPr>
      </w:pPr>
      <w:r>
        <w:rPr>
          <w:rFonts w:hint="eastAsia" w:eastAsia="楷体_GB2312" w:cs="楷体_GB2312"/>
          <w:color w:val="000000"/>
        </w:rPr>
        <w:t>（三）强化政务服务，持续优化发展环境</w:t>
      </w:r>
    </w:p>
    <w:p w14:paraId="619FAB44">
      <w:pPr>
        <w:spacing w:line="570" w:lineRule="exact"/>
        <w:ind w:firstLine="624" w:firstLineChars="200"/>
        <w:rPr>
          <w:color w:val="000000"/>
        </w:rPr>
      </w:pPr>
      <w:r>
        <w:rPr>
          <w:rFonts w:hint="eastAsia" w:cs="仿宋_GB2312"/>
          <w:color w:val="000000"/>
        </w:rPr>
        <w:t>全面加快推进政府职能转变，持续降低审批门槛，推动营商环境取得显著提升。</w:t>
      </w:r>
    </w:p>
    <w:p w14:paraId="491D2E68">
      <w:pPr>
        <w:spacing w:line="570" w:lineRule="exact"/>
        <w:ind w:firstLine="624" w:firstLineChars="200"/>
        <w:rPr>
          <w:color w:val="000000"/>
        </w:rPr>
      </w:pPr>
      <w:r>
        <w:rPr>
          <w:rFonts w:hint="eastAsia" w:cs="仿宋_GB2312"/>
          <w:b/>
          <w:bCs/>
          <w:color w:val="000000"/>
        </w:rPr>
        <w:t>深化</w:t>
      </w:r>
      <w:r>
        <w:rPr>
          <w:b/>
          <w:bCs/>
          <w:color w:val="000000"/>
        </w:rPr>
        <w:t>“</w:t>
      </w:r>
      <w:r>
        <w:rPr>
          <w:rFonts w:hint="eastAsia" w:cs="仿宋_GB2312"/>
          <w:b/>
          <w:bCs/>
          <w:color w:val="000000"/>
        </w:rPr>
        <w:t>高效办成一件事</w:t>
      </w:r>
      <w:r>
        <w:rPr>
          <w:b/>
          <w:bCs/>
          <w:color w:val="000000"/>
        </w:rPr>
        <w:t>”</w:t>
      </w:r>
      <w:r>
        <w:rPr>
          <w:rFonts w:hint="eastAsia" w:cs="仿宋_GB2312"/>
          <w:b/>
          <w:bCs/>
          <w:color w:val="000000"/>
        </w:rPr>
        <w:t>工作。</w:t>
      </w:r>
      <w:r>
        <w:rPr>
          <w:rFonts w:hint="eastAsia" w:cs="仿宋_GB2312"/>
          <w:color w:val="000000"/>
        </w:rPr>
        <w:t>立足区情实际，谋划推进更多事项实现</w:t>
      </w:r>
      <w:r>
        <w:rPr>
          <w:color w:val="000000"/>
        </w:rPr>
        <w:t>“</w:t>
      </w:r>
      <w:r>
        <w:rPr>
          <w:rFonts w:hint="eastAsia" w:cs="仿宋_GB2312"/>
          <w:color w:val="000000"/>
        </w:rPr>
        <w:t>高效办成一件事</w:t>
      </w:r>
      <w:r>
        <w:rPr>
          <w:color w:val="000000"/>
        </w:rPr>
        <w:t>”</w:t>
      </w:r>
      <w:r>
        <w:rPr>
          <w:rFonts w:hint="eastAsia" w:cs="仿宋_GB2312"/>
          <w:color w:val="000000"/>
        </w:rPr>
        <w:t>，积极配合省、市做好</w:t>
      </w:r>
      <w:r>
        <w:rPr>
          <w:color w:val="000000"/>
        </w:rPr>
        <w:t>“</w:t>
      </w:r>
      <w:r>
        <w:rPr>
          <w:rFonts w:hint="eastAsia" w:cs="仿宋_GB2312"/>
          <w:color w:val="000000"/>
        </w:rPr>
        <w:t>高效办成一件事</w:t>
      </w:r>
      <w:r>
        <w:rPr>
          <w:color w:val="000000"/>
        </w:rPr>
        <w:t>”</w:t>
      </w:r>
      <w:r>
        <w:rPr>
          <w:rFonts w:hint="eastAsia" w:cs="仿宋_GB2312"/>
          <w:color w:val="000000"/>
        </w:rPr>
        <w:t>事项有关业务系统的改造、整合，推进所涉业务系统与石家庄一体化政务服务平台的深度对接，实现一个系统收件、一网通办，确保所有事项顺利平稳运行。</w:t>
      </w:r>
    </w:p>
    <w:p w14:paraId="774AB96E">
      <w:pPr>
        <w:spacing w:line="570" w:lineRule="exact"/>
        <w:ind w:firstLine="624" w:firstLineChars="200"/>
        <w:rPr>
          <w:color w:val="000000"/>
        </w:rPr>
      </w:pPr>
      <w:r>
        <w:rPr>
          <w:rFonts w:hint="eastAsia" w:cs="仿宋_GB2312"/>
          <w:b/>
          <w:bCs/>
          <w:color w:val="000000"/>
        </w:rPr>
        <w:t>推动项目快速落地。</w:t>
      </w:r>
      <w:r>
        <w:rPr>
          <w:rFonts w:hint="eastAsia" w:cs="仿宋_GB2312"/>
          <w:color w:val="000000"/>
        </w:rPr>
        <w:t>紧密结合项目特点和建设需求，提前介入、主动服务，为其提供容缺受理、多评合一等优质服务，积极配合上级部门对新一代电子信息等重点产业项目实施</w:t>
      </w:r>
      <w:r>
        <w:rPr>
          <w:color w:val="000000"/>
        </w:rPr>
        <w:t>“</w:t>
      </w:r>
      <w:r>
        <w:rPr>
          <w:rFonts w:hint="eastAsia" w:cs="仿宋_GB2312"/>
          <w:color w:val="000000"/>
        </w:rPr>
        <w:t>两证审批合一</w:t>
      </w:r>
      <w:r>
        <w:rPr>
          <w:color w:val="000000"/>
        </w:rPr>
        <w:t>”</w:t>
      </w:r>
      <w:r>
        <w:rPr>
          <w:rFonts w:hint="eastAsia" w:cs="仿宋_GB2312"/>
          <w:color w:val="000000"/>
        </w:rPr>
        <w:t>改革，开工建设前合并办理环评和排污手续，试行两个审批</w:t>
      </w:r>
      <w:r>
        <w:rPr>
          <w:color w:val="000000"/>
        </w:rPr>
        <w:t>“</w:t>
      </w:r>
      <w:r>
        <w:rPr>
          <w:rFonts w:hint="eastAsia" w:cs="仿宋_GB2312"/>
          <w:color w:val="000000"/>
        </w:rPr>
        <w:t>一表申请</w:t>
      </w:r>
      <w:r>
        <w:rPr>
          <w:color w:val="000000"/>
        </w:rPr>
        <w:t>”</w:t>
      </w:r>
      <w:r>
        <w:rPr>
          <w:rFonts w:hint="eastAsia" w:cs="仿宋_GB2312"/>
          <w:color w:val="000000"/>
        </w:rPr>
        <w:t>同步审批。</w:t>
      </w:r>
    </w:p>
    <w:p w14:paraId="54BA888D">
      <w:pPr>
        <w:spacing w:line="570" w:lineRule="exact"/>
        <w:ind w:firstLine="624" w:firstLineChars="200"/>
        <w:rPr>
          <w:color w:val="000000"/>
        </w:rPr>
      </w:pPr>
      <w:r>
        <w:rPr>
          <w:rFonts w:hint="eastAsia" w:cs="仿宋_GB2312"/>
          <w:b/>
          <w:bCs/>
          <w:color w:val="000000"/>
        </w:rPr>
        <w:t>打造长安服务品牌</w:t>
      </w:r>
      <w:r>
        <w:rPr>
          <w:rFonts w:hint="eastAsia" w:cs="仿宋_GB2312"/>
          <w:b/>
          <w:bCs/>
          <w:color w:val="000000"/>
          <w:shd w:val="clear" w:color="auto" w:fill="FFFFFF"/>
        </w:rPr>
        <w:t>。</w:t>
      </w:r>
      <w:r>
        <w:rPr>
          <w:rFonts w:hint="eastAsia" w:cs="仿宋_GB2312"/>
          <w:color w:val="000000"/>
        </w:rPr>
        <w:t>全面落实省市区有关优化营商环境部署要求，严格落实</w:t>
      </w:r>
      <w:r>
        <w:rPr>
          <w:color w:val="000000"/>
        </w:rPr>
        <w:t>“19+10”</w:t>
      </w:r>
      <w:r>
        <w:rPr>
          <w:rFonts w:hint="eastAsia" w:cs="仿宋_GB2312"/>
          <w:color w:val="000000"/>
        </w:rPr>
        <w:t>优化营商环境措施、</w:t>
      </w:r>
      <w:r>
        <w:rPr>
          <w:color w:val="000000"/>
        </w:rPr>
        <w:t>“</w:t>
      </w:r>
      <w:r>
        <w:rPr>
          <w:rFonts w:hint="eastAsia" w:cs="仿宋_GB2312"/>
          <w:color w:val="000000"/>
        </w:rPr>
        <w:t>政企服务连心卡</w:t>
      </w:r>
      <w:r>
        <w:rPr>
          <w:color w:val="000000"/>
        </w:rPr>
        <w:t>”</w:t>
      </w:r>
      <w:r>
        <w:rPr>
          <w:rFonts w:hint="eastAsia" w:cs="仿宋_GB2312"/>
          <w:color w:val="000000"/>
        </w:rPr>
        <w:t>、领导包联等制度，以企业帮扶为主线，切实把优化营商环境作为一项重要的政治任务抓在手上，形成服务企业、服务发展的良好氛围，着力打造</w:t>
      </w:r>
      <w:r>
        <w:rPr>
          <w:color w:val="000000"/>
        </w:rPr>
        <w:t>“</w:t>
      </w:r>
      <w:r>
        <w:rPr>
          <w:rFonts w:hint="eastAsia" w:cs="仿宋_GB2312"/>
          <w:color w:val="000000"/>
        </w:rPr>
        <w:t>无事不扰、有呼必应、随叫随到、办就办好</w:t>
      </w:r>
      <w:r>
        <w:rPr>
          <w:color w:val="000000"/>
        </w:rPr>
        <w:t>”</w:t>
      </w:r>
      <w:r>
        <w:rPr>
          <w:rFonts w:hint="eastAsia" w:cs="仿宋_GB2312"/>
          <w:color w:val="000000"/>
        </w:rPr>
        <w:t>的服务品牌，持续优化营商环境。深入贯彻落实各类惠企、惠民政策措施，提高政策措施知晓率和通达率，确保市场主体享受到政策红利。</w:t>
      </w:r>
    </w:p>
    <w:p w14:paraId="204455CD">
      <w:pPr>
        <w:spacing w:line="570" w:lineRule="exact"/>
        <w:ind w:firstLine="646"/>
        <w:rPr>
          <w:rFonts w:eastAsia="楷体_GB2312"/>
          <w:color w:val="000000"/>
        </w:rPr>
      </w:pPr>
      <w:r>
        <w:rPr>
          <w:rFonts w:hint="eastAsia" w:eastAsia="楷体_GB2312" w:cs="楷体_GB2312"/>
          <w:color w:val="000000"/>
        </w:rPr>
        <w:t>（四）加快基础建设，提升城市功能品质</w:t>
      </w:r>
    </w:p>
    <w:p w14:paraId="1A38D492">
      <w:pPr>
        <w:spacing w:line="570" w:lineRule="exact"/>
        <w:ind w:firstLine="646"/>
        <w:rPr>
          <w:color w:val="000000"/>
        </w:rPr>
      </w:pPr>
      <w:r>
        <w:rPr>
          <w:rFonts w:hint="eastAsia" w:cs="仿宋_GB2312"/>
          <w:color w:val="000000"/>
        </w:rPr>
        <w:t>坚持高起点规划、高标准推进、高水平管理，加快城市更新建设步伐，全力打造宜居宜业城区环境。</w:t>
      </w:r>
    </w:p>
    <w:p w14:paraId="43624835">
      <w:pPr>
        <w:spacing w:line="570" w:lineRule="exact"/>
        <w:ind w:firstLine="646"/>
        <w:rPr>
          <w:color w:val="000000"/>
        </w:rPr>
      </w:pPr>
      <w:r>
        <w:rPr>
          <w:rFonts w:hint="eastAsia" w:cs="仿宋_GB2312"/>
          <w:b/>
          <w:bCs/>
          <w:color w:val="000000"/>
        </w:rPr>
        <w:t>持续加快城市建设。</w:t>
      </w:r>
      <w:r>
        <w:rPr>
          <w:rFonts w:hint="eastAsia" w:cs="仿宋_GB2312"/>
          <w:color w:val="000000"/>
        </w:rPr>
        <w:t>启</w:t>
      </w:r>
      <w:r>
        <w:rPr>
          <w:rFonts w:hint="eastAsia" w:cs="仿宋_GB2312"/>
          <w:color w:val="000000"/>
          <w:spacing w:val="-10"/>
        </w:rPr>
        <w:t>动</w:t>
      </w:r>
      <w:r>
        <w:rPr>
          <w:color w:val="000000"/>
          <w:spacing w:val="-10"/>
        </w:rPr>
        <w:t>21</w:t>
      </w:r>
      <w:r>
        <w:rPr>
          <w:rFonts w:hint="eastAsia" w:cs="仿宋_GB2312"/>
          <w:color w:val="000000"/>
          <w:spacing w:val="-10"/>
        </w:rPr>
        <w:t>个</w:t>
      </w:r>
      <w:r>
        <w:rPr>
          <w:rFonts w:hint="eastAsia" w:cs="仿宋_GB2312"/>
          <w:color w:val="000000"/>
        </w:rPr>
        <w:t>老旧小区改造工作，加快推进白佛、南村、柳辛庄</w:t>
      </w:r>
      <w:r>
        <w:rPr>
          <w:color w:val="000000"/>
        </w:rPr>
        <w:t>3</w:t>
      </w:r>
      <w:r>
        <w:rPr>
          <w:rFonts w:hint="eastAsia" w:cs="仿宋_GB2312"/>
          <w:color w:val="000000"/>
        </w:rPr>
        <w:t>个城中村改造，力争年内回迁楼封顶。推进住宅小区电梯更新、电梯加装工</w:t>
      </w:r>
      <w:r>
        <w:rPr>
          <w:rFonts w:hint="eastAsia" w:cs="仿宋_GB2312"/>
          <w:color w:val="000000"/>
          <w:kern w:val="21"/>
        </w:rPr>
        <w:t>作，在完善电动自行车充电桩的基础上，持续加强车棚及视频监控等设施建设。</w:t>
      </w:r>
      <w:r>
        <w:rPr>
          <w:rFonts w:hint="eastAsia" w:cs="仿宋_GB2312"/>
          <w:color w:val="000000"/>
        </w:rPr>
        <w:t>大力推进</w:t>
      </w:r>
      <w:r>
        <w:rPr>
          <w:color w:val="000000"/>
        </w:rPr>
        <w:t>“</w:t>
      </w:r>
      <w:r>
        <w:rPr>
          <w:rFonts w:hint="eastAsia" w:cs="仿宋_GB2312"/>
          <w:color w:val="000000"/>
        </w:rPr>
        <w:t>一站三厂</w:t>
      </w:r>
      <w:r>
        <w:rPr>
          <w:color w:val="000000"/>
        </w:rPr>
        <w:t>”</w:t>
      </w:r>
      <w:r>
        <w:rPr>
          <w:rFonts w:hint="eastAsia" w:cs="仿宋_GB2312"/>
          <w:color w:val="000000"/>
        </w:rPr>
        <w:t>配套建设，全面提升污水、垃圾处理等设施水平。</w:t>
      </w:r>
    </w:p>
    <w:p w14:paraId="2FD4BDB8">
      <w:pPr>
        <w:spacing w:line="570" w:lineRule="exact"/>
        <w:ind w:firstLine="646"/>
        <w:rPr>
          <w:color w:val="000000"/>
        </w:rPr>
      </w:pPr>
      <w:r>
        <w:rPr>
          <w:rFonts w:hint="eastAsia" w:cs="仿宋_GB2312"/>
          <w:b/>
          <w:bCs/>
          <w:color w:val="000000"/>
        </w:rPr>
        <w:t>加强市容秩序管理。</w:t>
      </w:r>
      <w:r>
        <w:rPr>
          <w:rStyle w:val="29"/>
          <w:rFonts w:hint="eastAsia" w:cs="仿宋_GB2312"/>
          <w:color w:val="000000"/>
        </w:rPr>
        <w:t>加强对各街镇</w:t>
      </w:r>
      <w:r>
        <w:rPr>
          <w:rFonts w:hint="eastAsia" w:cs="仿宋_GB2312"/>
          <w:color w:val="000000"/>
        </w:rPr>
        <w:t>业务指导与监督检查，聚焦占道经营、店外摆放等违规行为，常态化组织区域联合执法行动，不断改善市容秩序。组织门头牌匾、楼体字号、建筑立面、工程围挡综合整治行动，系统化提升市容市貌。强化共享单车企业主体责任，加强热点区域集中整治，定期组织联动整治，持续改善非机动车停放秩序。</w:t>
      </w:r>
    </w:p>
    <w:p w14:paraId="6D0EBBC9">
      <w:pPr>
        <w:spacing w:line="570" w:lineRule="exact"/>
        <w:ind w:firstLine="646"/>
        <w:rPr>
          <w:color w:val="000000"/>
        </w:rPr>
      </w:pPr>
      <w:r>
        <w:rPr>
          <w:rFonts w:hint="eastAsia" w:cs="仿宋_GB2312"/>
          <w:b/>
          <w:bCs/>
          <w:color w:val="000000"/>
        </w:rPr>
        <w:t>提升城市精细管理。</w:t>
      </w:r>
      <w:r>
        <w:rPr>
          <w:rFonts w:hint="eastAsia" w:cs="仿宋_GB2312"/>
          <w:color w:val="000000"/>
        </w:rPr>
        <w:t>健全日常清扫机制，强化</w:t>
      </w:r>
      <w:r>
        <w:rPr>
          <w:color w:val="000000"/>
        </w:rPr>
        <w:t>“</w:t>
      </w:r>
      <w:r>
        <w:rPr>
          <w:rFonts w:hint="eastAsia" w:cs="仿宋_GB2312"/>
          <w:color w:val="000000"/>
        </w:rPr>
        <w:t>以克论净、深度保洁</w:t>
      </w:r>
      <w:r>
        <w:rPr>
          <w:color w:val="000000"/>
        </w:rPr>
        <w:t>”</w:t>
      </w:r>
      <w:r>
        <w:rPr>
          <w:rFonts w:hint="eastAsia" w:cs="仿宋_GB2312"/>
          <w:color w:val="000000"/>
        </w:rPr>
        <w:t>，推进水洗机扫向背街小巷延伸，向道路便道覆盖，提高清扫保洁质量。加强生活垃圾收运管理，确保日产日清。开展城乡垃圾集中整治行动，消除积存垃圾，改善人居环境。加强垃圾分类工作，完善分类设施，加强宣传引导，不断提高群众分类意识。</w:t>
      </w:r>
    </w:p>
    <w:p w14:paraId="6BA74BE0">
      <w:pPr>
        <w:spacing w:line="570" w:lineRule="exact"/>
        <w:ind w:firstLine="624" w:firstLineChars="200"/>
        <w:rPr>
          <w:rFonts w:eastAsia="楷体_GB2312"/>
          <w:color w:val="000000"/>
        </w:rPr>
      </w:pPr>
      <w:r>
        <w:rPr>
          <w:rFonts w:hint="eastAsia" w:eastAsia="楷体_GB2312" w:cs="楷体_GB2312"/>
          <w:color w:val="000000"/>
        </w:rPr>
        <w:t>（五）推进精准治污，营造优美人居环境</w:t>
      </w:r>
    </w:p>
    <w:p w14:paraId="13335562">
      <w:pPr>
        <w:spacing w:line="570" w:lineRule="exact"/>
        <w:ind w:firstLine="624" w:firstLineChars="200"/>
        <w:rPr>
          <w:color w:val="000000"/>
        </w:rPr>
      </w:pPr>
      <w:r>
        <w:rPr>
          <w:rFonts w:hint="eastAsia" w:cs="仿宋_GB2312"/>
          <w:color w:val="000000"/>
        </w:rPr>
        <w:t>聚力污染防治攻坚，加快环境治理向更加注重源头预防和源头治理转变，统筹污染防治和生态修复，增加发展的环境容量，筑牢生态安全屏障。</w:t>
      </w:r>
    </w:p>
    <w:p w14:paraId="14D3C4D8">
      <w:pPr>
        <w:spacing w:line="570" w:lineRule="exact"/>
        <w:ind w:firstLine="624" w:firstLineChars="200"/>
        <w:rPr>
          <w:color w:val="000000"/>
        </w:rPr>
      </w:pPr>
      <w:r>
        <w:rPr>
          <w:rFonts w:hint="eastAsia" w:cs="仿宋_GB2312"/>
          <w:b/>
          <w:bCs/>
          <w:color w:val="000000"/>
        </w:rPr>
        <w:t>严格保障空气质量。</w:t>
      </w:r>
      <w:r>
        <w:rPr>
          <w:rFonts w:hint="eastAsia" w:cs="仿宋_GB2312"/>
          <w:color w:val="000000"/>
        </w:rPr>
        <w:t>强化施工、道路、堆场、裸露地面等扬尘管控，推广低尘机械化湿式清扫作业，深化餐饮油烟污染和恶臭异味治理，进一步加强散乱污企业和渣土运输车排查整治工作、持续做好秸秆禁烧工作。加大巡查力度，通过</w:t>
      </w:r>
      <w:r>
        <w:rPr>
          <w:color w:val="000000"/>
        </w:rPr>
        <w:t>24</w:t>
      </w:r>
      <w:r>
        <w:rPr>
          <w:rFonts w:hint="eastAsia" w:cs="仿宋_GB2312"/>
          <w:color w:val="000000"/>
        </w:rPr>
        <w:t>小时全时段、全覆盖、无死角的巡查，对大气污染问题进行源头治理，切实改善全区空气质量。</w:t>
      </w:r>
    </w:p>
    <w:p w14:paraId="1821017E">
      <w:pPr>
        <w:spacing w:line="570" w:lineRule="exact"/>
        <w:ind w:firstLine="624" w:firstLineChars="200"/>
        <w:rPr>
          <w:color w:val="000000"/>
        </w:rPr>
      </w:pPr>
      <w:r>
        <w:rPr>
          <w:rFonts w:hint="eastAsia" w:cs="仿宋_GB2312"/>
          <w:b/>
          <w:bCs/>
          <w:color w:val="000000"/>
        </w:rPr>
        <w:t>持续做好水土污染防治。</w:t>
      </w:r>
      <w:r>
        <w:rPr>
          <w:rFonts w:hint="eastAsia" w:cs="仿宋_GB2312"/>
          <w:color w:val="000000"/>
        </w:rPr>
        <w:t>持续开展黑臭水体整治和河流断面国考点位水质管控工作及石津灌渠两侧污染源管控工作，不断改善水环境质量。深入贯彻习近平总书记关于耕地保护和粮食安全重要指示批示精神，把粮食安全作为</w:t>
      </w:r>
      <w:r>
        <w:rPr>
          <w:color w:val="000000"/>
        </w:rPr>
        <w:t>“</w:t>
      </w:r>
      <w:r>
        <w:rPr>
          <w:rFonts w:hint="eastAsia" w:cs="仿宋_GB2312"/>
          <w:color w:val="000000"/>
        </w:rPr>
        <w:t>三农</w:t>
      </w:r>
      <w:r>
        <w:rPr>
          <w:color w:val="000000"/>
        </w:rPr>
        <w:t>”</w:t>
      </w:r>
      <w:r>
        <w:rPr>
          <w:rFonts w:hint="eastAsia" w:cs="仿宋_GB2312"/>
          <w:color w:val="000000"/>
        </w:rPr>
        <w:t>工作的首要任务，强化土壤环境监管，管控土壤污染风险，坚决做好耕地保护和粮食安全工作。</w:t>
      </w:r>
    </w:p>
    <w:p w14:paraId="27958908">
      <w:pPr>
        <w:spacing w:line="570" w:lineRule="exact"/>
        <w:ind w:firstLine="624" w:firstLineChars="200"/>
        <w:rPr>
          <w:color w:val="000000"/>
        </w:rPr>
      </w:pPr>
      <w:r>
        <w:rPr>
          <w:rFonts w:hint="eastAsia" w:cs="仿宋_GB2312"/>
          <w:b/>
          <w:bCs/>
          <w:color w:val="000000"/>
        </w:rPr>
        <w:t>严格落实生态环境保护责任。</w:t>
      </w:r>
      <w:r>
        <w:rPr>
          <w:rFonts w:hint="eastAsia" w:cs="仿宋_GB2312"/>
          <w:color w:val="000000"/>
        </w:rPr>
        <w:t>压紧压实企业主体责任和政府监管责任，健全完善生态文明考核体系，强化刚性约束。加强生态环保监管执法，坚持铁腕治污，对各类环境违法行为，始终保持</w:t>
      </w:r>
      <w:r>
        <w:rPr>
          <w:color w:val="000000"/>
        </w:rPr>
        <w:t>“</w:t>
      </w:r>
      <w:r>
        <w:rPr>
          <w:rFonts w:hint="eastAsia" w:cs="仿宋_GB2312"/>
          <w:color w:val="000000"/>
        </w:rPr>
        <w:t>零容忍</w:t>
      </w:r>
      <w:r>
        <w:rPr>
          <w:color w:val="000000"/>
        </w:rPr>
        <w:t>”“</w:t>
      </w:r>
      <w:r>
        <w:rPr>
          <w:rFonts w:hint="eastAsia" w:cs="仿宋_GB2312"/>
          <w:color w:val="000000"/>
        </w:rPr>
        <w:t>严打击</w:t>
      </w:r>
      <w:r>
        <w:rPr>
          <w:color w:val="000000"/>
        </w:rPr>
        <w:t>”</w:t>
      </w:r>
      <w:r>
        <w:rPr>
          <w:rFonts w:hint="eastAsia" w:cs="仿宋_GB2312"/>
          <w:color w:val="000000"/>
        </w:rPr>
        <w:t>高压态势。全面落实差异化管控措施，推进生态环境监管制度化、规范化，实施工业企业绩效评级认定，激励企业自觉减排。</w:t>
      </w:r>
    </w:p>
    <w:p w14:paraId="2C542233">
      <w:pPr>
        <w:spacing w:line="570" w:lineRule="exact"/>
        <w:ind w:firstLine="624" w:firstLineChars="200"/>
        <w:rPr>
          <w:rFonts w:eastAsia="楷体_GB2312"/>
          <w:color w:val="000000"/>
        </w:rPr>
      </w:pPr>
      <w:r>
        <w:rPr>
          <w:rFonts w:hint="eastAsia" w:eastAsia="楷体_GB2312" w:cs="楷体_GB2312"/>
          <w:color w:val="000000"/>
        </w:rPr>
        <w:t>（六）坚持执政为民，持续提升民生福祉</w:t>
      </w:r>
    </w:p>
    <w:p w14:paraId="718EFECD">
      <w:pPr>
        <w:spacing w:line="570" w:lineRule="exact"/>
        <w:ind w:firstLine="624" w:firstLineChars="200"/>
        <w:rPr>
          <w:color w:val="000000"/>
        </w:rPr>
      </w:pPr>
      <w:r>
        <w:rPr>
          <w:rFonts w:hint="eastAsia" w:cs="仿宋_GB2312"/>
          <w:color w:val="000000"/>
        </w:rPr>
        <w:t>坚持以人为本、执政为民，聚力办好民生工程、民生实事，解决民生难题，坚定不移增强长安人民获得感、幸福感、安全感。</w:t>
      </w:r>
    </w:p>
    <w:p w14:paraId="61470FCE">
      <w:pPr>
        <w:spacing w:line="570" w:lineRule="exact"/>
        <w:ind w:firstLine="624" w:firstLineChars="200"/>
        <w:rPr>
          <w:color w:val="000000"/>
          <w:kern w:val="0"/>
        </w:rPr>
      </w:pPr>
      <w:r>
        <w:rPr>
          <w:rFonts w:hint="eastAsia" w:cs="仿宋_GB2312"/>
          <w:b/>
          <w:bCs/>
          <w:color w:val="000000"/>
        </w:rPr>
        <w:t>完善社会保障体系。</w:t>
      </w:r>
      <w:r>
        <w:rPr>
          <w:rFonts w:hint="eastAsia" w:cs="仿宋_GB2312"/>
          <w:color w:val="000000"/>
        </w:rPr>
        <w:t>建立完善分层分类的救助体系，对低保、特困、高龄、残疾等特殊困难群体开展精准帮扶，确保政策兜底。</w:t>
      </w:r>
      <w:r>
        <w:rPr>
          <w:rFonts w:hint="eastAsia" w:cs="仿宋_GB2312"/>
          <w:color w:val="000000"/>
          <w:kern w:val="0"/>
        </w:rPr>
        <w:t>强化就业援助政策落实，保障重点群体就业，加强职业培训工作的管理与监督，</w:t>
      </w:r>
      <w:r>
        <w:rPr>
          <w:rFonts w:hint="eastAsia" w:cs="仿宋_GB2312"/>
        </w:rPr>
        <w:t>全年开展职业技能培训</w:t>
      </w:r>
      <w:r>
        <w:t>350</w:t>
      </w:r>
      <w:r>
        <w:rPr>
          <w:rFonts w:hint="eastAsia" w:cs="仿宋_GB2312"/>
        </w:rPr>
        <w:t>场次，新增城镇就业</w:t>
      </w:r>
      <w:r>
        <w:t>1.9</w:t>
      </w:r>
      <w:r>
        <w:rPr>
          <w:rFonts w:hint="eastAsia" w:cs="仿宋_GB2312"/>
        </w:rPr>
        <w:t>万人以上</w:t>
      </w:r>
      <w:r>
        <w:rPr>
          <w:rFonts w:hint="eastAsia" w:cs="仿宋_GB2312"/>
          <w:color w:val="000000"/>
          <w:kern w:val="0"/>
        </w:rPr>
        <w:t>。健全农民工工资支付保障机制，常态化推进欠薪案件化解处置。</w:t>
      </w:r>
    </w:p>
    <w:p w14:paraId="21242A7C">
      <w:pPr>
        <w:spacing w:line="570" w:lineRule="exact"/>
        <w:ind w:firstLine="624" w:firstLineChars="200"/>
        <w:rPr>
          <w:color w:val="000000"/>
        </w:rPr>
      </w:pPr>
      <w:r>
        <w:rPr>
          <w:rFonts w:hint="eastAsia" w:cs="仿宋_GB2312"/>
          <w:b/>
          <w:bCs/>
          <w:color w:val="000000"/>
        </w:rPr>
        <w:t>提升优质教育资源。</w:t>
      </w:r>
      <w:r>
        <w:rPr>
          <w:rFonts w:hint="eastAsia" w:cs="仿宋_GB2312"/>
          <w:color w:val="000000"/>
        </w:rPr>
        <w:t>推进</w:t>
      </w:r>
      <w:r>
        <w:rPr>
          <w:color w:val="000000"/>
        </w:rPr>
        <w:t>2025</w:t>
      </w:r>
      <w:r>
        <w:rPr>
          <w:rFonts w:hint="eastAsia" w:cs="仿宋_GB2312"/>
          <w:color w:val="000000"/>
        </w:rPr>
        <w:t>年新建</w:t>
      </w:r>
      <w:r>
        <w:rPr>
          <w:color w:val="000000"/>
        </w:rPr>
        <w:t>5</w:t>
      </w:r>
      <w:r>
        <w:rPr>
          <w:rFonts w:hint="eastAsia" w:cs="仿宋_GB2312"/>
          <w:color w:val="000000"/>
        </w:rPr>
        <w:t>所中小学、幼儿园建设，确保竣工投用；推进高中基础设施改造提升项目，确保顺利完工。扩大优质教育资源覆盖面，推动新建、薄弱学校快速成长为优质学校，确保</w:t>
      </w:r>
      <w:r>
        <w:rPr>
          <w:color w:val="000000"/>
        </w:rPr>
        <w:t>2025</w:t>
      </w:r>
      <w:r>
        <w:rPr>
          <w:rFonts w:hint="eastAsia" w:cs="仿宋_GB2312"/>
          <w:color w:val="000000"/>
        </w:rPr>
        <w:t>年公办义务教育学校学区管理制试点实现全覆盖，促进义务教育优质均衡发展。</w:t>
      </w:r>
    </w:p>
    <w:p w14:paraId="65B8AD2B">
      <w:pPr>
        <w:spacing w:line="570" w:lineRule="exact"/>
        <w:ind w:firstLine="624" w:firstLineChars="200"/>
        <w:rPr>
          <w:color w:val="000000"/>
        </w:rPr>
      </w:pPr>
      <w:r>
        <w:rPr>
          <w:rFonts w:hint="eastAsia" w:cs="仿宋_GB2312"/>
          <w:b/>
          <w:bCs/>
          <w:color w:val="000000"/>
        </w:rPr>
        <w:t>加快发展民生事业。</w:t>
      </w:r>
      <w:r>
        <w:rPr>
          <w:rFonts w:hint="eastAsia" w:cs="仿宋_GB2312"/>
          <w:color w:val="000000"/>
        </w:rPr>
        <w:t>不断加强公共卫生体系建设，进一步巩固全国卫生城市成果，持续推进健康长安建设。办好品牌文艺活动，年内开展惠民演出</w:t>
      </w:r>
      <w:r>
        <w:rPr>
          <w:color w:val="000000"/>
        </w:rPr>
        <w:t>120</w:t>
      </w:r>
      <w:r>
        <w:rPr>
          <w:rFonts w:hint="eastAsia" w:cs="仿宋_GB2312"/>
          <w:color w:val="000000"/>
        </w:rPr>
        <w:t>场以上。加大区图书馆、文化馆免费开放力度，举办高品质体育赛事</w:t>
      </w:r>
      <w:r>
        <w:rPr>
          <w:color w:val="000000"/>
        </w:rPr>
        <w:t>10</w:t>
      </w:r>
      <w:r>
        <w:rPr>
          <w:rFonts w:hint="eastAsia" w:cs="仿宋_GB2312"/>
          <w:color w:val="000000"/>
        </w:rPr>
        <w:t>场以上，充分发挥区文体中心功能作用，不断丰富群众文化生活。</w:t>
      </w:r>
    </w:p>
    <w:p w14:paraId="23B0F0B3">
      <w:pPr>
        <w:spacing w:line="570" w:lineRule="exact"/>
        <w:ind w:firstLine="624" w:firstLineChars="200"/>
        <w:rPr>
          <w:color w:val="000000"/>
        </w:rPr>
      </w:pPr>
      <w:r>
        <w:rPr>
          <w:rFonts w:hint="eastAsia" w:cs="仿宋_GB2312"/>
          <w:b/>
          <w:bCs/>
          <w:color w:val="000000"/>
        </w:rPr>
        <w:t>扎实推进社会治理。</w:t>
      </w:r>
      <w:r>
        <w:rPr>
          <w:rFonts w:hint="eastAsia" w:cs="仿宋_GB2312"/>
          <w:color w:val="000000"/>
        </w:rPr>
        <w:t>继续推进</w:t>
      </w:r>
      <w:r>
        <w:rPr>
          <w:color w:val="000000"/>
        </w:rPr>
        <w:t>“</w:t>
      </w:r>
      <w:r>
        <w:rPr>
          <w:rFonts w:hint="eastAsia" w:cs="仿宋_GB2312"/>
          <w:color w:val="000000"/>
        </w:rPr>
        <w:t>解遗</w:t>
      </w:r>
      <w:r>
        <w:rPr>
          <w:color w:val="000000"/>
        </w:rPr>
        <w:t>”</w:t>
      </w:r>
      <w:r>
        <w:rPr>
          <w:rFonts w:hint="eastAsia" w:cs="仿宋_GB2312"/>
          <w:color w:val="000000"/>
        </w:rPr>
        <w:t>项目各项手续的办理，加快解决</w:t>
      </w:r>
      <w:r>
        <w:rPr>
          <w:color w:val="000000"/>
        </w:rPr>
        <w:t>“</w:t>
      </w:r>
      <w:r>
        <w:rPr>
          <w:rFonts w:hint="eastAsia" w:cs="仿宋_GB2312"/>
          <w:color w:val="000000"/>
        </w:rPr>
        <w:t>办证难</w:t>
      </w:r>
      <w:r>
        <w:rPr>
          <w:color w:val="000000"/>
        </w:rPr>
        <w:t>”“</w:t>
      </w:r>
      <w:r>
        <w:rPr>
          <w:rFonts w:hint="eastAsia" w:cs="仿宋_GB2312"/>
          <w:color w:val="000000"/>
        </w:rPr>
        <w:t>入住难</w:t>
      </w:r>
      <w:r>
        <w:rPr>
          <w:color w:val="000000"/>
        </w:rPr>
        <w:t>”</w:t>
      </w:r>
      <w:r>
        <w:rPr>
          <w:rFonts w:hint="eastAsia" w:cs="仿宋_GB2312"/>
          <w:color w:val="000000"/>
        </w:rPr>
        <w:t>等问题。扎实开展金融风险、安全生产、消防安全、食品药品安全的隐患排查整治工作，杜绝重特大事故发生。加大民间矛盾纠纷排查化解力度，在全区范围内深入开展矛盾纠纷排查化解活动。常态化开展扫黑除恶斗争，积极化解各类信访矛盾，维护社会大局和谐稳定。支持工会、妇联、残联、工商联、共青团、红十字会等群团组织更好发挥桥梁纽带作用，做好外事人防、史志档案、民族宗教等各项工作，推进社会事业全面进步。</w:t>
      </w:r>
    </w:p>
    <w:p w14:paraId="600413D5">
      <w:pPr>
        <w:spacing w:line="570" w:lineRule="exact"/>
        <w:ind w:firstLine="624" w:firstLineChars="200"/>
        <w:rPr>
          <w:color w:val="000000"/>
        </w:rPr>
      </w:pPr>
      <w:r>
        <w:rPr>
          <w:rFonts w:hint="eastAsia" w:cs="仿宋_GB2312"/>
          <w:color w:val="000000"/>
        </w:rPr>
        <w:t>各位代表，</w:t>
      </w:r>
      <w:r>
        <w:rPr>
          <w:color w:val="000000"/>
        </w:rPr>
        <w:t>2025</w:t>
      </w:r>
      <w:r>
        <w:rPr>
          <w:rFonts w:hint="eastAsia" w:cs="仿宋_GB2312"/>
          <w:color w:val="000000"/>
        </w:rPr>
        <w:t>年是</w:t>
      </w:r>
      <w:r>
        <w:rPr>
          <w:color w:val="000000"/>
        </w:rPr>
        <w:t>“</w:t>
      </w:r>
      <w:r>
        <w:rPr>
          <w:rFonts w:hint="eastAsia" w:cs="仿宋_GB2312"/>
          <w:color w:val="000000"/>
        </w:rPr>
        <w:t>十四五</w:t>
      </w:r>
      <w:r>
        <w:rPr>
          <w:color w:val="000000"/>
        </w:rPr>
        <w:t>”</w:t>
      </w:r>
      <w:r>
        <w:rPr>
          <w:rFonts w:hint="eastAsia" w:cs="仿宋_GB2312"/>
          <w:color w:val="000000"/>
        </w:rPr>
        <w:t>规划收官之年，做好经济社会发展工作，任务艰巨、责任重大。让我们更加紧密</w:t>
      </w:r>
      <w:r>
        <w:rPr>
          <w:rFonts w:hint="eastAsia" w:cs="仿宋_GB2312"/>
          <w:color w:val="000000"/>
          <w:lang w:eastAsia="zh-CN"/>
        </w:rPr>
        <w:t>地</w:t>
      </w:r>
      <w:bookmarkStart w:id="1" w:name="_GoBack"/>
      <w:bookmarkEnd w:id="1"/>
      <w:r>
        <w:rPr>
          <w:rFonts w:hint="eastAsia" w:cs="仿宋_GB2312"/>
          <w:color w:val="000000"/>
        </w:rPr>
        <w:t>团结在以习近平同志为核心的党中央周围，全面贯彻习近平新时代中国特色社会主义思想，在区委、区政府的坚强领导下，在区人大、区政协的监督支持下，以</w:t>
      </w:r>
      <w:r>
        <w:rPr>
          <w:color w:val="000000"/>
        </w:rPr>
        <w:t>“</w:t>
      </w:r>
      <w:r>
        <w:rPr>
          <w:rFonts w:hint="eastAsia" w:cs="仿宋_GB2312"/>
          <w:color w:val="000000"/>
        </w:rPr>
        <w:t>功成不必在我</w:t>
      </w:r>
      <w:r>
        <w:rPr>
          <w:color w:val="000000"/>
        </w:rPr>
        <w:t>”</w:t>
      </w:r>
      <w:r>
        <w:rPr>
          <w:rFonts w:hint="eastAsia" w:cs="仿宋_GB2312"/>
          <w:color w:val="000000"/>
        </w:rPr>
        <w:t>的胸怀和</w:t>
      </w:r>
      <w:r>
        <w:rPr>
          <w:color w:val="000000"/>
        </w:rPr>
        <w:t>“</w:t>
      </w:r>
      <w:r>
        <w:rPr>
          <w:rFonts w:hint="eastAsia" w:cs="仿宋_GB2312"/>
          <w:color w:val="000000"/>
        </w:rPr>
        <w:t>功成必定有我</w:t>
      </w:r>
      <w:r>
        <w:rPr>
          <w:color w:val="000000"/>
        </w:rPr>
        <w:t>”</w:t>
      </w:r>
      <w:r>
        <w:rPr>
          <w:rFonts w:hint="eastAsia" w:cs="仿宋_GB2312"/>
          <w:color w:val="000000"/>
        </w:rPr>
        <w:t>的担当，开拓创新，锐意进取，奋力谱写全面建设经济强区、美丽长安新篇章！</w:t>
      </w:r>
    </w:p>
    <w:p w14:paraId="5E4DAFDA">
      <w:pPr>
        <w:spacing w:line="570" w:lineRule="exact"/>
        <w:rPr>
          <w:color w:val="000000"/>
        </w:rPr>
      </w:pPr>
      <w:r>
        <w:rPr>
          <w:color w:val="000000"/>
        </w:rPr>
        <w:br w:type="page"/>
      </w:r>
      <w:r>
        <w:rPr>
          <w:rFonts w:hint="eastAsia" w:eastAsia="楷体_GB2312" w:cs="楷体_GB2312"/>
          <w:b/>
          <w:bCs/>
          <w:color w:val="000000"/>
        </w:rPr>
        <w:t>名词解释</w:t>
      </w:r>
    </w:p>
    <w:p w14:paraId="4A2822A8">
      <w:pPr>
        <w:spacing w:line="570" w:lineRule="exact"/>
        <w:ind w:firstLine="624" w:firstLineChars="200"/>
        <w:rPr>
          <w:color w:val="000000"/>
        </w:rPr>
      </w:pPr>
      <w:r>
        <w:rPr>
          <w:rFonts w:eastAsia="楷体_GB2312"/>
          <w:b/>
          <w:bCs/>
          <w:color w:val="000000"/>
        </w:rPr>
        <w:t>1.</w:t>
      </w:r>
      <w:r>
        <w:rPr>
          <w:rFonts w:hint="eastAsia" w:eastAsia="楷体_GB2312" w:cs="楷体_GB2312"/>
          <w:b/>
          <w:bCs/>
          <w:color w:val="000000"/>
        </w:rPr>
        <w:t>一刻钟便民生活圈：</w:t>
      </w:r>
      <w:r>
        <w:rPr>
          <w:rFonts w:hint="eastAsia" w:cs="仿宋_GB2312"/>
          <w:color w:val="000000"/>
        </w:rPr>
        <w:t>以社区居民为服务对象，在服务半径为步行</w:t>
      </w:r>
      <w:r>
        <w:rPr>
          <w:color w:val="000000"/>
        </w:rPr>
        <w:t>15</w:t>
      </w:r>
      <w:r>
        <w:rPr>
          <w:rFonts w:hint="eastAsia" w:cs="仿宋_GB2312"/>
          <w:color w:val="000000"/>
        </w:rPr>
        <w:t>分钟左右的范围内，以满足居民日常生活基本消费和品质消费等为目标，通过多业态集聚形成的社区商圈。</w:t>
      </w:r>
    </w:p>
    <w:p w14:paraId="5DEF54A9">
      <w:pPr>
        <w:spacing w:line="570" w:lineRule="exact"/>
        <w:ind w:firstLine="624" w:firstLineChars="200"/>
        <w:rPr>
          <w:rFonts w:eastAsia="楷体_GB2312"/>
          <w:b/>
          <w:bCs/>
          <w:color w:val="000000"/>
        </w:rPr>
      </w:pPr>
      <w:r>
        <w:rPr>
          <w:rFonts w:eastAsia="楷体_GB2312"/>
          <w:b/>
          <w:bCs/>
          <w:color w:val="000000"/>
        </w:rPr>
        <w:t>2.</w:t>
      </w:r>
      <w:r>
        <w:rPr>
          <w:rFonts w:hint="eastAsia" w:eastAsia="楷体_GB2312" w:cs="楷体_GB2312"/>
          <w:b/>
          <w:bCs/>
        </w:rPr>
        <w:t>“瞪羚”企业</w:t>
      </w:r>
      <w:r>
        <w:rPr>
          <w:rFonts w:hint="eastAsia" w:cs="仿宋_GB2312"/>
          <w:kern w:val="0"/>
        </w:rPr>
        <w:t>：指企业创业后以科技创新或商业模式创新为支撑，进入高成长期的中小企业。</w:t>
      </w:r>
    </w:p>
    <w:p w14:paraId="4895F0A7">
      <w:pPr>
        <w:spacing w:line="570" w:lineRule="exact"/>
        <w:ind w:firstLine="624" w:firstLineChars="200"/>
        <w:rPr>
          <w:color w:val="000000"/>
        </w:rPr>
      </w:pPr>
      <w:r>
        <w:rPr>
          <w:rFonts w:eastAsia="楷体_GB2312"/>
          <w:b/>
          <w:bCs/>
          <w:color w:val="000000"/>
        </w:rPr>
        <w:t>3.</w:t>
      </w:r>
      <w:r>
        <w:rPr>
          <w:rFonts w:hint="eastAsia" w:eastAsia="楷体_GB2312" w:cs="楷体_GB2312"/>
          <w:b/>
          <w:bCs/>
          <w:color w:val="000000"/>
        </w:rPr>
        <w:t>专精特新：</w:t>
      </w:r>
      <w:r>
        <w:rPr>
          <w:rFonts w:hint="eastAsia" w:cs="仿宋_GB2312"/>
          <w:color w:val="000000"/>
        </w:rPr>
        <w:t>指主营业务突出、专业能力强、研发创新能力强、具有发展潜力的中小企业，主要集中在新一代信息技术、高端装备制造、新能源、新材料、生物医药等中高端产业。</w:t>
      </w:r>
    </w:p>
    <w:p w14:paraId="2C5E739B">
      <w:pPr>
        <w:spacing w:line="570" w:lineRule="exact"/>
        <w:ind w:firstLine="624" w:firstLineChars="200"/>
        <w:rPr>
          <w:color w:val="000000"/>
        </w:rPr>
      </w:pPr>
      <w:r>
        <w:rPr>
          <w:rFonts w:eastAsia="楷体_GB2312"/>
          <w:b/>
          <w:bCs/>
          <w:color w:val="000000"/>
        </w:rPr>
        <w:t>4.“</w:t>
      </w:r>
      <w:r>
        <w:rPr>
          <w:rFonts w:hint="eastAsia" w:eastAsia="楷体_GB2312" w:cs="楷体_GB2312"/>
          <w:b/>
          <w:bCs/>
          <w:color w:val="000000"/>
        </w:rPr>
        <w:t>六支撑</w:t>
      </w:r>
      <w:r>
        <w:rPr>
          <w:rFonts w:eastAsia="楷体_GB2312"/>
          <w:b/>
          <w:bCs/>
          <w:color w:val="000000"/>
        </w:rPr>
        <w:t>”</w:t>
      </w:r>
      <w:r>
        <w:rPr>
          <w:rFonts w:hint="eastAsia" w:eastAsia="楷体_GB2312" w:cs="楷体_GB2312"/>
          <w:b/>
          <w:bCs/>
          <w:color w:val="000000"/>
        </w:rPr>
        <w:t>产业：</w:t>
      </w:r>
      <w:r>
        <w:rPr>
          <w:rFonts w:hint="eastAsia" w:cs="仿宋_GB2312"/>
          <w:color w:val="000000"/>
        </w:rPr>
        <w:t>指区委第十次党代会提出的六大支撑产业，即科技创新与数字产业，总部经济和高端商务产业，现代商贸产业，金融服务产业，康养产业，教育、医疗和文旅设施高端配套产业。</w:t>
      </w:r>
    </w:p>
    <w:p w14:paraId="25CB4331">
      <w:pPr>
        <w:spacing w:line="570" w:lineRule="exact"/>
        <w:ind w:firstLine="624" w:firstLineChars="200"/>
        <w:rPr>
          <w:color w:val="000000"/>
        </w:rPr>
      </w:pPr>
      <w:r>
        <w:rPr>
          <w:rFonts w:eastAsia="楷体_GB2312"/>
          <w:b/>
          <w:bCs/>
          <w:color w:val="000000"/>
        </w:rPr>
        <w:t>5.</w:t>
      </w:r>
      <w:r>
        <w:rPr>
          <w:rFonts w:hint="eastAsia" w:eastAsia="楷体_GB2312" w:cs="楷体_GB2312"/>
          <w:b/>
          <w:bCs/>
          <w:color w:val="000000"/>
        </w:rPr>
        <w:t>口袋公园：</w:t>
      </w:r>
      <w:r>
        <w:rPr>
          <w:rFonts w:hint="eastAsia" w:cs="仿宋_GB2312"/>
          <w:color w:val="000000"/>
        </w:rPr>
        <w:t>指规模很小的城市开放空间，口袋公园对较小地块进行绿化种植，再配置座椅等便民服务设施，常呈斑块状散落或隐藏在城市结构中，为当地居民服务。</w:t>
      </w:r>
    </w:p>
    <w:p w14:paraId="5362633A">
      <w:pPr>
        <w:spacing w:line="570" w:lineRule="exact"/>
        <w:ind w:firstLine="624" w:firstLineChars="200"/>
        <w:rPr>
          <w:color w:val="000000"/>
        </w:rPr>
      </w:pPr>
      <w:r>
        <w:rPr>
          <w:rFonts w:eastAsia="楷体_GB2312"/>
          <w:b/>
          <w:bCs/>
          <w:color w:val="000000"/>
        </w:rPr>
        <w:t>6.</w:t>
      </w:r>
      <w:r>
        <w:rPr>
          <w:rFonts w:hint="eastAsia" w:eastAsia="楷体_GB2312" w:cs="楷体_GB2312"/>
          <w:b/>
          <w:bCs/>
          <w:color w:val="000000"/>
        </w:rPr>
        <w:t>一站三厂：</w:t>
      </w:r>
      <w:r>
        <w:rPr>
          <w:color w:val="000000"/>
        </w:rPr>
        <w:t>“</w:t>
      </w:r>
      <w:r>
        <w:rPr>
          <w:rFonts w:hint="eastAsia" w:cs="仿宋_GB2312"/>
          <w:color w:val="000000"/>
        </w:rPr>
        <w:t>一站</w:t>
      </w:r>
      <w:r>
        <w:rPr>
          <w:color w:val="000000"/>
        </w:rPr>
        <w:t>”</w:t>
      </w:r>
      <w:r>
        <w:rPr>
          <w:rFonts w:hint="eastAsia" w:cs="仿宋_GB2312"/>
          <w:color w:val="000000"/>
        </w:rPr>
        <w:t>，指长安区垃圾压缩转运站；</w:t>
      </w:r>
      <w:r>
        <w:rPr>
          <w:color w:val="000000"/>
        </w:rPr>
        <w:t>“</w:t>
      </w:r>
      <w:r>
        <w:rPr>
          <w:rFonts w:hint="eastAsia" w:cs="仿宋_GB2312"/>
          <w:color w:val="000000"/>
        </w:rPr>
        <w:t>三厂</w:t>
      </w:r>
      <w:r>
        <w:rPr>
          <w:color w:val="000000"/>
        </w:rPr>
        <w:t>”</w:t>
      </w:r>
      <w:r>
        <w:rPr>
          <w:rFonts w:hint="eastAsia" w:cs="仿宋_GB2312"/>
          <w:color w:val="000000"/>
        </w:rPr>
        <w:t>，指西兆通再生水厂、长安区地表水厂、长安区污水处理厂。</w:t>
      </w:r>
    </w:p>
    <w:p w14:paraId="1A0CD699">
      <w:pPr>
        <w:spacing w:line="570" w:lineRule="exact"/>
      </w:pPr>
    </w:p>
    <w:sectPr>
      <w:footerReference r:id="rId6" w:type="default"/>
      <w:pgSz w:w="11906" w:h="16838"/>
      <w:pgMar w:top="2098" w:right="1474" w:bottom="1985" w:left="1588" w:header="624" w:footer="1474" w:gutter="0"/>
      <w:pgNumType w:start="1"/>
      <w:cols w:space="720" w:num="1"/>
      <w:docGrid w:type="linesAndChars" w:linePitch="577" w:charSpace="-167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小标宋简体">
    <w:panose1 w:val="02000000000000000000"/>
    <w:charset w:val="86"/>
    <w:family w:val="script"/>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D57BB5">
    <w:pPr>
      <w:pStyle w:val="11"/>
      <w:framePr w:wrap="auto" w:vAnchor="text" w:hAnchor="margin" w:xAlign="outside" w:y="1"/>
      <w:rPr>
        <w:rStyle w:val="18"/>
      </w:rPr>
    </w:pPr>
    <w:r>
      <w:rPr>
        <w:rStyle w:val="18"/>
      </w:rPr>
      <w:fldChar w:fldCharType="begin"/>
    </w:r>
    <w:r>
      <w:rPr>
        <w:rStyle w:val="18"/>
      </w:rPr>
      <w:instrText xml:space="preserve">PAGE  </w:instrText>
    </w:r>
    <w:r>
      <w:rPr>
        <w:rStyle w:val="18"/>
      </w:rPr>
      <w:fldChar w:fldCharType="separate"/>
    </w:r>
    <w:r>
      <w:rPr>
        <w:rStyle w:val="18"/>
      </w:rPr>
      <w:t>1</w:t>
    </w:r>
    <w:r>
      <w:rPr>
        <w:rStyle w:val="18"/>
      </w:rPr>
      <w:fldChar w:fldCharType="end"/>
    </w:r>
  </w:p>
  <w:p w14:paraId="4F79DCFF">
    <w:pPr>
      <w:pStyle w:val="11"/>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217FD8">
    <w:pPr>
      <w:pStyle w:val="11"/>
      <w:framePr w:w="1259" w:wrap="auto" w:vAnchor="text" w:hAnchor="margin" w:xAlign="outside" w:y="9"/>
      <w:rPr>
        <w:rStyle w:val="18"/>
        <w:rFonts w:ascii="宋体" w:hAnsi="宋体" w:eastAsia="宋体"/>
        <w:sz w:val="28"/>
        <w:szCs w:val="28"/>
      </w:rPr>
    </w:pPr>
    <w:r>
      <w:rPr>
        <w:rStyle w:val="18"/>
        <w:rFonts w:ascii="宋体" w:hAnsi="宋体" w:eastAsia="宋体" w:cs="宋体"/>
        <w:sz w:val="28"/>
        <w:szCs w:val="28"/>
      </w:rPr>
      <w:t xml:space="preserve">— </w:t>
    </w:r>
    <w:r>
      <w:rPr>
        <w:rStyle w:val="18"/>
        <w:rFonts w:ascii="宋体" w:hAnsi="宋体" w:eastAsia="宋体" w:cs="宋体"/>
        <w:sz w:val="28"/>
        <w:szCs w:val="28"/>
      </w:rPr>
      <w:fldChar w:fldCharType="begin"/>
    </w:r>
    <w:r>
      <w:rPr>
        <w:rStyle w:val="18"/>
        <w:rFonts w:ascii="宋体" w:hAnsi="宋体" w:eastAsia="宋体" w:cs="宋体"/>
        <w:sz w:val="28"/>
        <w:szCs w:val="28"/>
      </w:rPr>
      <w:instrText xml:space="preserve">PAGE  </w:instrText>
    </w:r>
    <w:r>
      <w:rPr>
        <w:rStyle w:val="18"/>
        <w:rFonts w:ascii="宋体" w:hAnsi="宋体" w:eastAsia="宋体" w:cs="宋体"/>
        <w:sz w:val="28"/>
        <w:szCs w:val="28"/>
      </w:rPr>
      <w:fldChar w:fldCharType="separate"/>
    </w:r>
    <w:r>
      <w:rPr>
        <w:rStyle w:val="18"/>
        <w:rFonts w:ascii="宋体" w:hAnsi="宋体" w:eastAsia="宋体" w:cs="宋体"/>
        <w:sz w:val="28"/>
        <w:szCs w:val="28"/>
      </w:rPr>
      <w:t>16</w:t>
    </w:r>
    <w:r>
      <w:rPr>
        <w:rStyle w:val="18"/>
        <w:rFonts w:ascii="宋体" w:hAnsi="宋体" w:eastAsia="宋体" w:cs="宋体"/>
        <w:sz w:val="28"/>
        <w:szCs w:val="28"/>
      </w:rPr>
      <w:fldChar w:fldCharType="end"/>
    </w:r>
    <w:r>
      <w:rPr>
        <w:rStyle w:val="18"/>
        <w:rFonts w:ascii="宋体" w:hAnsi="宋体" w:eastAsia="宋体" w:cs="宋体"/>
        <w:sz w:val="28"/>
        <w:szCs w:val="28"/>
      </w:rPr>
      <w:t xml:space="preserve"> —</w:t>
    </w:r>
  </w:p>
  <w:p w14:paraId="47EBB12B">
    <w:pPr>
      <w:pStyle w:val="11"/>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3FF9B6">
    <w:pPr>
      <w:pStyle w:val="11"/>
      <w:ind w:right="360" w:firstLine="360"/>
    </w:pPr>
    <w: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weight="0.5pt" joinstyle="miter"/>
          <v:imagedata o:title=""/>
          <o:lock v:ext="edit"/>
          <v:textbox inset="0mm,0mm,0mm,0mm" style="mso-fit-shape-to-text:t;">
            <w:txbxContent>
              <w:p w14:paraId="4A0D4C1B">
                <w:pPr>
                  <w:pStyle w:val="11"/>
                  <w:rPr>
                    <w:rFonts w:ascii="宋体" w:hAnsi="宋体" w:eastAsia="宋体" w:cs="宋体"/>
                    <w:sz w:val="28"/>
                    <w:szCs w:val="28"/>
                  </w:rPr>
                </w:pPr>
                <w:r>
                  <w:rPr>
                    <w:rFonts w:ascii="宋体" w:hAnsi="宋体" w:eastAsia="宋体" w:cs="宋体"/>
                    <w:sz w:val="28"/>
                    <w:szCs w:val="28"/>
                  </w:rPr>
                  <w:t xml:space="preserve">— </w:t>
                </w:r>
                <w:r>
                  <w:rPr>
                    <w:rFonts w:ascii="宋体" w:hAnsi="宋体" w:eastAsia="宋体" w:cs="宋体"/>
                    <w:sz w:val="28"/>
                    <w:szCs w:val="28"/>
                  </w:rPr>
                  <w:fldChar w:fldCharType="begin"/>
                </w:r>
                <w:r>
                  <w:rPr>
                    <w:rFonts w:ascii="宋体" w:hAnsi="宋体" w:eastAsia="宋体" w:cs="宋体"/>
                    <w:sz w:val="28"/>
                    <w:szCs w:val="28"/>
                  </w:rPr>
                  <w:instrText xml:space="preserve"> PAGE  \* MERGEFORMAT </w:instrText>
                </w:r>
                <w:r>
                  <w:rPr>
                    <w:rFonts w:ascii="宋体" w:hAnsi="宋体" w:eastAsia="宋体" w:cs="宋体"/>
                    <w:sz w:val="28"/>
                    <w:szCs w:val="28"/>
                  </w:rPr>
                  <w:fldChar w:fldCharType="separate"/>
                </w:r>
                <w:r>
                  <w:rPr>
                    <w:rFonts w:ascii="宋体" w:hAnsi="宋体" w:eastAsia="宋体" w:cs="宋体"/>
                    <w:sz w:val="28"/>
                    <w:szCs w:val="28"/>
                  </w:rPr>
                  <w:t>15</w:t>
                </w:r>
                <w:r>
                  <w:rPr>
                    <w:rFonts w:ascii="宋体" w:hAnsi="宋体" w:eastAsia="宋体" w:cs="宋体"/>
                    <w:sz w:val="28"/>
                    <w:szCs w:val="28"/>
                  </w:rPr>
                  <w:fldChar w:fldCharType="end"/>
                </w:r>
                <w:r>
                  <w:rPr>
                    <w:rFonts w:ascii="宋体" w:hAnsi="宋体" w:eastAsia="宋体" w:cs="宋体"/>
                    <w:sz w:val="28"/>
                    <w:szCs w:val="28"/>
                  </w:rPr>
                  <w:t xml:space="preserve"> —</w:t>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566B6">
    <w:pPr>
      <w:pStyle w:val="12"/>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evenAndOddHeaders w:val="1"/>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60304C98"/>
    <w:rsid w:val="00057D79"/>
    <w:rsid w:val="00073FC4"/>
    <w:rsid w:val="000B4B18"/>
    <w:rsid w:val="000D165C"/>
    <w:rsid w:val="000F6A73"/>
    <w:rsid w:val="00122FA8"/>
    <w:rsid w:val="00190708"/>
    <w:rsid w:val="00367F2E"/>
    <w:rsid w:val="003727DF"/>
    <w:rsid w:val="003B6A24"/>
    <w:rsid w:val="004A2107"/>
    <w:rsid w:val="004A2D55"/>
    <w:rsid w:val="00570774"/>
    <w:rsid w:val="005D198B"/>
    <w:rsid w:val="005D3C24"/>
    <w:rsid w:val="00654348"/>
    <w:rsid w:val="006772B7"/>
    <w:rsid w:val="00682F30"/>
    <w:rsid w:val="006A40AF"/>
    <w:rsid w:val="006B1F11"/>
    <w:rsid w:val="006F2CBB"/>
    <w:rsid w:val="007021A2"/>
    <w:rsid w:val="007A237E"/>
    <w:rsid w:val="007B294C"/>
    <w:rsid w:val="007C7B4C"/>
    <w:rsid w:val="007D477F"/>
    <w:rsid w:val="009168BD"/>
    <w:rsid w:val="00986ADC"/>
    <w:rsid w:val="00995688"/>
    <w:rsid w:val="009A37A1"/>
    <w:rsid w:val="00A90A6C"/>
    <w:rsid w:val="00AB52AB"/>
    <w:rsid w:val="00AF7E47"/>
    <w:rsid w:val="00B1370C"/>
    <w:rsid w:val="00B61C9A"/>
    <w:rsid w:val="00B67187"/>
    <w:rsid w:val="00BC612A"/>
    <w:rsid w:val="00BE2D9F"/>
    <w:rsid w:val="00C333B3"/>
    <w:rsid w:val="00CE2125"/>
    <w:rsid w:val="00D63B3F"/>
    <w:rsid w:val="00D9221E"/>
    <w:rsid w:val="00DC23A0"/>
    <w:rsid w:val="00DD5D53"/>
    <w:rsid w:val="00EC7874"/>
    <w:rsid w:val="00EF70EA"/>
    <w:rsid w:val="00F47A57"/>
    <w:rsid w:val="00FC2D78"/>
    <w:rsid w:val="01ED504D"/>
    <w:rsid w:val="02CE168D"/>
    <w:rsid w:val="03C831F3"/>
    <w:rsid w:val="042B64D1"/>
    <w:rsid w:val="06D2699C"/>
    <w:rsid w:val="07607739"/>
    <w:rsid w:val="07D77B04"/>
    <w:rsid w:val="08EB1EE6"/>
    <w:rsid w:val="090D4E9A"/>
    <w:rsid w:val="0A333CF6"/>
    <w:rsid w:val="0BD02D72"/>
    <w:rsid w:val="0CFA5E94"/>
    <w:rsid w:val="0E4946FF"/>
    <w:rsid w:val="0EEE2C8F"/>
    <w:rsid w:val="0F1856FB"/>
    <w:rsid w:val="0F3744A6"/>
    <w:rsid w:val="0FD8602C"/>
    <w:rsid w:val="100E1528"/>
    <w:rsid w:val="109520EF"/>
    <w:rsid w:val="11852F84"/>
    <w:rsid w:val="11A41FA2"/>
    <w:rsid w:val="122716C6"/>
    <w:rsid w:val="127C24B1"/>
    <w:rsid w:val="14927E49"/>
    <w:rsid w:val="15F31839"/>
    <w:rsid w:val="168D490F"/>
    <w:rsid w:val="16D415D3"/>
    <w:rsid w:val="16EC41BF"/>
    <w:rsid w:val="17E674F8"/>
    <w:rsid w:val="18A94F18"/>
    <w:rsid w:val="19B756EB"/>
    <w:rsid w:val="1CFF2CE6"/>
    <w:rsid w:val="1E2E1A92"/>
    <w:rsid w:val="1EE2283A"/>
    <w:rsid w:val="2131065D"/>
    <w:rsid w:val="21520F9D"/>
    <w:rsid w:val="244E7F3E"/>
    <w:rsid w:val="248D0F8B"/>
    <w:rsid w:val="25087790"/>
    <w:rsid w:val="255505C9"/>
    <w:rsid w:val="262350D7"/>
    <w:rsid w:val="263F494B"/>
    <w:rsid w:val="2686177E"/>
    <w:rsid w:val="26E9199A"/>
    <w:rsid w:val="27042451"/>
    <w:rsid w:val="273B136A"/>
    <w:rsid w:val="274676FC"/>
    <w:rsid w:val="28A24D7F"/>
    <w:rsid w:val="2B567EA6"/>
    <w:rsid w:val="2BCA23E3"/>
    <w:rsid w:val="2CD549AD"/>
    <w:rsid w:val="2EB92839"/>
    <w:rsid w:val="2F6D0115"/>
    <w:rsid w:val="303E1E05"/>
    <w:rsid w:val="317A00BB"/>
    <w:rsid w:val="31B53AA0"/>
    <w:rsid w:val="32915685"/>
    <w:rsid w:val="3463117A"/>
    <w:rsid w:val="359025DA"/>
    <w:rsid w:val="360665C9"/>
    <w:rsid w:val="36C501D0"/>
    <w:rsid w:val="36E34F6A"/>
    <w:rsid w:val="378B123B"/>
    <w:rsid w:val="38C80DFF"/>
    <w:rsid w:val="3927259C"/>
    <w:rsid w:val="3AFD5902"/>
    <w:rsid w:val="3C4A751A"/>
    <w:rsid w:val="3D7F28FB"/>
    <w:rsid w:val="3D827B10"/>
    <w:rsid w:val="3E667586"/>
    <w:rsid w:val="3E8C5E57"/>
    <w:rsid w:val="3ED9195C"/>
    <w:rsid w:val="3F434078"/>
    <w:rsid w:val="408A0D1B"/>
    <w:rsid w:val="438600FC"/>
    <w:rsid w:val="439455FB"/>
    <w:rsid w:val="453510F6"/>
    <w:rsid w:val="4576340D"/>
    <w:rsid w:val="45E3108C"/>
    <w:rsid w:val="47904FDB"/>
    <w:rsid w:val="479B5D08"/>
    <w:rsid w:val="48DD0560"/>
    <w:rsid w:val="493A6877"/>
    <w:rsid w:val="495E079C"/>
    <w:rsid w:val="4ABE12AD"/>
    <w:rsid w:val="4B4D69E7"/>
    <w:rsid w:val="4B514170"/>
    <w:rsid w:val="4B9754A2"/>
    <w:rsid w:val="4BDC6EAE"/>
    <w:rsid w:val="4C432948"/>
    <w:rsid w:val="4CDE3DD6"/>
    <w:rsid w:val="4E35193A"/>
    <w:rsid w:val="4EF86BE1"/>
    <w:rsid w:val="5216596C"/>
    <w:rsid w:val="53B37F16"/>
    <w:rsid w:val="56257464"/>
    <w:rsid w:val="56D9408C"/>
    <w:rsid w:val="573024C6"/>
    <w:rsid w:val="57A8345F"/>
    <w:rsid w:val="57F0164F"/>
    <w:rsid w:val="5A3B21AC"/>
    <w:rsid w:val="5C0E43FC"/>
    <w:rsid w:val="5C324138"/>
    <w:rsid w:val="5C9E02EB"/>
    <w:rsid w:val="5DC74FE5"/>
    <w:rsid w:val="5EDA7997"/>
    <w:rsid w:val="5F593B9B"/>
    <w:rsid w:val="60304C98"/>
    <w:rsid w:val="60661C5D"/>
    <w:rsid w:val="60A67CB0"/>
    <w:rsid w:val="61573034"/>
    <w:rsid w:val="61B81661"/>
    <w:rsid w:val="61BB65BF"/>
    <w:rsid w:val="63F62417"/>
    <w:rsid w:val="65927733"/>
    <w:rsid w:val="65E13C9A"/>
    <w:rsid w:val="66B14307"/>
    <w:rsid w:val="66CD2B49"/>
    <w:rsid w:val="693E3352"/>
    <w:rsid w:val="6966692E"/>
    <w:rsid w:val="6A107548"/>
    <w:rsid w:val="6A6D5027"/>
    <w:rsid w:val="6ABE4B6E"/>
    <w:rsid w:val="6BB200C5"/>
    <w:rsid w:val="6BF27F43"/>
    <w:rsid w:val="6C4C3D51"/>
    <w:rsid w:val="6CB3284F"/>
    <w:rsid w:val="6CB53936"/>
    <w:rsid w:val="6D8A5CBE"/>
    <w:rsid w:val="6DBD17F7"/>
    <w:rsid w:val="6E303C7A"/>
    <w:rsid w:val="6E3D67E0"/>
    <w:rsid w:val="70080A76"/>
    <w:rsid w:val="705C1E53"/>
    <w:rsid w:val="706B4EC3"/>
    <w:rsid w:val="724C3314"/>
    <w:rsid w:val="74566BED"/>
    <w:rsid w:val="74CB5BC5"/>
    <w:rsid w:val="74F74698"/>
    <w:rsid w:val="79224E21"/>
    <w:rsid w:val="7A3C73F1"/>
    <w:rsid w:val="7B1C4401"/>
    <w:rsid w:val="7CD249D8"/>
    <w:rsid w:val="7D2906BD"/>
    <w:rsid w:val="7D817E88"/>
    <w:rsid w:val="7E0471DB"/>
    <w:rsid w:val="7E706FC4"/>
    <w:rsid w:val="7ED31E2B"/>
    <w:rsid w:val="7ED81D30"/>
    <w:rsid w:val="7F27663D"/>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qFormat="1" w:unhideWhenUsed="0" w:uiPriority="99" w:semiHidden="0" w:name="Normal Indent"/>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qFormat="1" w:unhideWhenUsed="0" w:uiPriority="99" w:name="Default Paragraph Font"/>
    <w:lsdException w:qFormat="1" w:unhideWhenUsed="0" w:uiPriority="99" w:semiHidden="0" w:name="Body Text"/>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99" w:semiHidden="0" w:name="Subtitle"/>
    <w:lsdException w:uiPriority="99" w:name="Salutation" w:locked="1"/>
    <w:lsdException w:uiPriority="99" w:name="Date" w:locked="1"/>
    <w:lsdException w:uiPriority="99" w:name="Body Text First Indent" w:locked="1"/>
    <w:lsdException w:qFormat="1" w:unhideWhenUsed="0" w:uiPriority="99" w:semiHidden="0" w:name="Body Text First Indent 2"/>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99" w:semiHidden="0" w:name="Strong"/>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32"/>
      <w:lang w:val="en-US" w:eastAsia="zh-CN" w:bidi="ar-SA"/>
    </w:rPr>
  </w:style>
  <w:style w:type="paragraph" w:styleId="5">
    <w:name w:val="heading 4"/>
    <w:basedOn w:val="1"/>
    <w:next w:val="1"/>
    <w:link w:val="19"/>
    <w:qFormat/>
    <w:uiPriority w:val="99"/>
    <w:pPr>
      <w:keepNext/>
      <w:keepLines/>
      <w:spacing w:line="376" w:lineRule="auto"/>
      <w:outlineLvl w:val="3"/>
    </w:pPr>
    <w:rPr>
      <w:rFonts w:ascii="Cambria" w:hAnsi="Cambria" w:eastAsia="宋体" w:cs="Cambria"/>
      <w:b/>
      <w:bCs/>
      <w:sz w:val="28"/>
      <w:szCs w:val="28"/>
    </w:rPr>
  </w:style>
  <w:style w:type="character" w:default="1" w:styleId="16">
    <w:name w:val="Default Paragraph Font"/>
    <w:semiHidden/>
    <w:qFormat/>
    <w:uiPriority w:val="99"/>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Title"/>
    <w:basedOn w:val="1"/>
    <w:next w:val="3"/>
    <w:link w:val="20"/>
    <w:qFormat/>
    <w:uiPriority w:val="99"/>
    <w:pPr>
      <w:jc w:val="center"/>
      <w:outlineLvl w:val="0"/>
    </w:pPr>
    <w:rPr>
      <w:rFonts w:ascii="Arial" w:hAnsi="Arial" w:eastAsia="宋体" w:cs="Arial"/>
      <w:b/>
      <w:bCs/>
    </w:rPr>
  </w:style>
  <w:style w:type="paragraph" w:styleId="3">
    <w:name w:val="Body Text Indent"/>
    <w:basedOn w:val="1"/>
    <w:next w:val="4"/>
    <w:link w:val="21"/>
    <w:qFormat/>
    <w:uiPriority w:val="99"/>
    <w:pPr>
      <w:ind w:left="420" w:leftChars="200"/>
    </w:pPr>
  </w:style>
  <w:style w:type="paragraph" w:styleId="4">
    <w:name w:val="Subtitle"/>
    <w:basedOn w:val="1"/>
    <w:next w:val="1"/>
    <w:link w:val="22"/>
    <w:qFormat/>
    <w:uiPriority w:val="99"/>
    <w:pPr>
      <w:wordWrap w:val="0"/>
      <w:jc w:val="center"/>
    </w:pPr>
    <w:rPr>
      <w:rFonts w:ascii="Calibri" w:hAnsi="Calibri" w:eastAsia="宋体" w:cs="Calibri"/>
      <w:sz w:val="24"/>
      <w:szCs w:val="24"/>
    </w:rPr>
  </w:style>
  <w:style w:type="paragraph" w:styleId="6">
    <w:name w:val="Normal Indent"/>
    <w:basedOn w:val="1"/>
    <w:next w:val="5"/>
    <w:qFormat/>
    <w:uiPriority w:val="99"/>
    <w:pPr>
      <w:ind w:firstLine="420" w:firstLineChars="200"/>
    </w:pPr>
  </w:style>
  <w:style w:type="paragraph" w:styleId="7">
    <w:name w:val="Body Text"/>
    <w:basedOn w:val="1"/>
    <w:next w:val="8"/>
    <w:link w:val="23"/>
    <w:qFormat/>
    <w:uiPriority w:val="99"/>
  </w:style>
  <w:style w:type="paragraph" w:customStyle="1" w:styleId="8">
    <w:name w:val="正文部分 Char Char Char"/>
    <w:basedOn w:val="9"/>
    <w:next w:val="10"/>
    <w:qFormat/>
    <w:uiPriority w:val="99"/>
    <w:pPr>
      <w:adjustRightInd w:val="0"/>
      <w:spacing w:line="460" w:lineRule="exact"/>
      <w:textAlignment w:val="baseline"/>
    </w:pPr>
    <w:rPr>
      <w:rFonts w:hAnsi="Calibri"/>
      <w:sz w:val="24"/>
      <w:szCs w:val="24"/>
    </w:rPr>
  </w:style>
  <w:style w:type="paragraph" w:customStyle="1" w:styleId="9">
    <w:name w:val="正文文本1"/>
    <w:basedOn w:val="1"/>
    <w:qFormat/>
    <w:uiPriority w:val="99"/>
    <w:rPr>
      <w:rFonts w:ascii="仿宋_GB2312" w:cs="仿宋_GB2312"/>
      <w:kern w:val="0"/>
    </w:rPr>
  </w:style>
  <w:style w:type="paragraph" w:customStyle="1" w:styleId="10">
    <w:name w:val="章标题"/>
    <w:basedOn w:val="2"/>
    <w:qFormat/>
    <w:uiPriority w:val="99"/>
    <w:pPr>
      <w:spacing w:line="360" w:lineRule="auto"/>
    </w:pPr>
    <w:rPr>
      <w:rFonts w:ascii="Cambria" w:hAnsi="Cambria" w:eastAsia="仿宋_GB2312" w:cs="Cambria"/>
      <w:kern w:val="0"/>
    </w:rPr>
  </w:style>
  <w:style w:type="paragraph" w:styleId="11">
    <w:name w:val="footer"/>
    <w:basedOn w:val="1"/>
    <w:link w:val="24"/>
    <w:qFormat/>
    <w:uiPriority w:val="99"/>
    <w:pPr>
      <w:tabs>
        <w:tab w:val="center" w:pos="4153"/>
        <w:tab w:val="right" w:pos="8306"/>
      </w:tabs>
      <w:snapToGrid w:val="0"/>
      <w:jc w:val="left"/>
    </w:pPr>
    <w:rPr>
      <w:sz w:val="18"/>
      <w:szCs w:val="18"/>
    </w:rPr>
  </w:style>
  <w:style w:type="paragraph" w:styleId="12">
    <w:name w:val="header"/>
    <w:basedOn w:val="1"/>
    <w:link w:val="25"/>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qFormat/>
    <w:uiPriority w:val="99"/>
    <w:rPr>
      <w:sz w:val="24"/>
      <w:szCs w:val="24"/>
    </w:rPr>
  </w:style>
  <w:style w:type="paragraph" w:styleId="14">
    <w:name w:val="Body Text First Indent 2"/>
    <w:basedOn w:val="3"/>
    <w:next w:val="1"/>
    <w:link w:val="26"/>
    <w:qFormat/>
    <w:uiPriority w:val="99"/>
    <w:pPr>
      <w:ind w:left="200" w:firstLine="200" w:firstLineChars="200"/>
    </w:pPr>
  </w:style>
  <w:style w:type="character" w:styleId="17">
    <w:name w:val="Strong"/>
    <w:basedOn w:val="16"/>
    <w:qFormat/>
    <w:uiPriority w:val="99"/>
    <w:rPr>
      <w:b/>
      <w:bCs/>
    </w:rPr>
  </w:style>
  <w:style w:type="character" w:styleId="18">
    <w:name w:val="page number"/>
    <w:basedOn w:val="16"/>
    <w:qFormat/>
    <w:locked/>
    <w:uiPriority w:val="99"/>
  </w:style>
  <w:style w:type="character" w:customStyle="1" w:styleId="19">
    <w:name w:val="Heading 4 Char"/>
    <w:basedOn w:val="16"/>
    <w:link w:val="5"/>
    <w:semiHidden/>
    <w:qFormat/>
    <w:locked/>
    <w:uiPriority w:val="99"/>
    <w:rPr>
      <w:rFonts w:ascii="Cambria" w:hAnsi="Cambria" w:eastAsia="宋体" w:cs="Cambria"/>
      <w:b/>
      <w:bCs/>
      <w:sz w:val="28"/>
      <w:szCs w:val="28"/>
    </w:rPr>
  </w:style>
  <w:style w:type="character" w:customStyle="1" w:styleId="20">
    <w:name w:val="Title Char"/>
    <w:basedOn w:val="16"/>
    <w:link w:val="2"/>
    <w:qFormat/>
    <w:locked/>
    <w:uiPriority w:val="99"/>
    <w:rPr>
      <w:rFonts w:ascii="Cambria" w:hAnsi="Cambria" w:cs="Cambria"/>
      <w:b/>
      <w:bCs/>
      <w:sz w:val="32"/>
      <w:szCs w:val="32"/>
    </w:rPr>
  </w:style>
  <w:style w:type="character" w:customStyle="1" w:styleId="21">
    <w:name w:val="Body Text Indent Char"/>
    <w:basedOn w:val="16"/>
    <w:link w:val="3"/>
    <w:semiHidden/>
    <w:qFormat/>
    <w:locked/>
    <w:uiPriority w:val="99"/>
    <w:rPr>
      <w:rFonts w:ascii="Times New Roman" w:hAnsi="Times New Roman" w:eastAsia="仿宋_GB2312" w:cs="Times New Roman"/>
      <w:sz w:val="32"/>
      <w:szCs w:val="32"/>
    </w:rPr>
  </w:style>
  <w:style w:type="character" w:customStyle="1" w:styleId="22">
    <w:name w:val="Subtitle Char"/>
    <w:basedOn w:val="16"/>
    <w:link w:val="4"/>
    <w:qFormat/>
    <w:locked/>
    <w:uiPriority w:val="99"/>
    <w:rPr>
      <w:rFonts w:ascii="Cambria" w:hAnsi="Cambria" w:cs="Cambria"/>
      <w:b/>
      <w:bCs/>
      <w:kern w:val="28"/>
      <w:sz w:val="32"/>
      <w:szCs w:val="32"/>
    </w:rPr>
  </w:style>
  <w:style w:type="character" w:customStyle="1" w:styleId="23">
    <w:name w:val="Body Text Char"/>
    <w:basedOn w:val="16"/>
    <w:link w:val="7"/>
    <w:semiHidden/>
    <w:qFormat/>
    <w:locked/>
    <w:uiPriority w:val="99"/>
    <w:rPr>
      <w:rFonts w:ascii="Times New Roman" w:hAnsi="Times New Roman" w:eastAsia="仿宋_GB2312" w:cs="Times New Roman"/>
      <w:sz w:val="32"/>
      <w:szCs w:val="32"/>
    </w:rPr>
  </w:style>
  <w:style w:type="character" w:customStyle="1" w:styleId="24">
    <w:name w:val="Footer Char"/>
    <w:basedOn w:val="16"/>
    <w:link w:val="11"/>
    <w:semiHidden/>
    <w:qFormat/>
    <w:locked/>
    <w:uiPriority w:val="99"/>
    <w:rPr>
      <w:rFonts w:ascii="Times New Roman" w:hAnsi="Times New Roman" w:eastAsia="仿宋_GB2312" w:cs="Times New Roman"/>
      <w:sz w:val="18"/>
      <w:szCs w:val="18"/>
    </w:rPr>
  </w:style>
  <w:style w:type="character" w:customStyle="1" w:styleId="25">
    <w:name w:val="Header Char"/>
    <w:basedOn w:val="16"/>
    <w:link w:val="12"/>
    <w:semiHidden/>
    <w:qFormat/>
    <w:locked/>
    <w:uiPriority w:val="99"/>
    <w:rPr>
      <w:rFonts w:ascii="Times New Roman" w:hAnsi="Times New Roman" w:eastAsia="仿宋_GB2312" w:cs="Times New Roman"/>
      <w:sz w:val="18"/>
      <w:szCs w:val="18"/>
    </w:rPr>
  </w:style>
  <w:style w:type="character" w:customStyle="1" w:styleId="26">
    <w:name w:val="Body Text First Indent 2 Char"/>
    <w:basedOn w:val="21"/>
    <w:link w:val="14"/>
    <w:semiHidden/>
    <w:qFormat/>
    <w:locked/>
    <w:uiPriority w:val="99"/>
  </w:style>
  <w:style w:type="paragraph" w:customStyle="1" w:styleId="27">
    <w:name w:val="样式1"/>
    <w:basedOn w:val="1"/>
    <w:next w:val="7"/>
    <w:qFormat/>
    <w:uiPriority w:val="99"/>
    <w:rPr>
      <w:rFonts w:ascii="Calibri" w:hAnsi="Calibri" w:cs="Calibri"/>
    </w:rPr>
  </w:style>
  <w:style w:type="paragraph" w:customStyle="1" w:styleId="28">
    <w:name w:val="Char"/>
    <w:basedOn w:val="1"/>
    <w:qFormat/>
    <w:uiPriority w:val="99"/>
    <w:pPr>
      <w:widowControl/>
      <w:spacing w:line="240" w:lineRule="exact"/>
      <w:jc w:val="left"/>
    </w:pPr>
    <w:rPr>
      <w:rFonts w:eastAsia="宋体"/>
      <w:sz w:val="21"/>
      <w:szCs w:val="21"/>
    </w:rPr>
  </w:style>
  <w:style w:type="character" w:customStyle="1" w:styleId="29">
    <w:name w:val="NormalCharacter"/>
    <w:link w:val="30"/>
    <w:qFormat/>
    <w:locked/>
    <w:uiPriority w:val="99"/>
  </w:style>
  <w:style w:type="paragraph" w:customStyle="1" w:styleId="30">
    <w:name w:val="UserStyle_7"/>
    <w:basedOn w:val="1"/>
    <w:link w:val="29"/>
    <w:qFormat/>
    <w:uiPriority w:val="99"/>
    <w:pPr>
      <w:widowControl/>
      <w:spacing w:line="240" w:lineRule="exact"/>
      <w:jc w:val="left"/>
      <w:textAlignment w:val="baseline"/>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MC SYSTEM</Company>
  <Pages>18</Pages>
  <Words>8729</Words>
  <Characters>9096</Characters>
  <Lines>0</Lines>
  <Paragraphs>0</Paragraphs>
  <TotalTime>113</TotalTime>
  <ScaleCrop>false</ScaleCrop>
  <LinksUpToDate>false</LinksUpToDate>
  <CharactersWithSpaces>9098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2024-12-24T09:29:00Z</dcterms:created>
  <dc:creator>LQ</dc:creator>
  <cp:lastModifiedBy>刘阳</cp:lastModifiedBy>
  <cp:lastPrinted>2025-01-11T09:48:00Z</cp:lastPrinted>
  <dcterms:modified xsi:type="dcterms:W3CDTF">2026-03-20T07:54:53Z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B2EE8CA1FD874819B5E4581BEDCD7BA7</vt:lpwstr>
  </property>
  <property fmtid="{D5CDD505-2E9C-101B-9397-08002B2CF9AE}" pid="4" name="KSOTemplateDocerSaveRecord">
    <vt:lpwstr>eyJoZGlkIjoiNGQwMTcxMTU2MDMzNmYyMzQ0ZWU0YWEwNDg4ZWM5NGMiLCJ1c2VySWQiOiIxNjg4OTIxODE2In0=</vt:lpwstr>
  </property>
</Properties>
</file>