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一、石家庄市长安区信访局本级收支预算</w:t>
      </w:r>
      <w:r>
        <w:tab/>
      </w:r>
      <w:r>
        <w:fldChar w:fldCharType="begin"/>
      </w:r>
      <w:r>
        <w:instrText xml:space="preserve">PAGEREF _Toc_4_4_0000000021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455石家庄市长安区信访局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544.79</w:t>
            </w:r>
          </w:p>
        </w:tc>
        <w:tc>
          <w:tcPr>
            <w:tcW w:w="4535" w:type="dxa"/>
            <w:vAlign w:val="center"/>
          </w:tcPr>
          <w:p>
            <w:pPr>
              <w:pStyle w:val="14"/>
            </w:pPr>
            <w:r>
              <w:t>一、一般公共服务支出</w:t>
            </w:r>
          </w:p>
        </w:tc>
        <w:tc>
          <w:tcPr>
            <w:tcW w:w="2126" w:type="dxa"/>
            <w:vAlign w:val="center"/>
          </w:tcPr>
          <w:p>
            <w:pPr>
              <w:pStyle w:val="13"/>
            </w:pPr>
            <w:r>
              <w:t>468.49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544.79</w:t>
            </w:r>
          </w:p>
        </w:tc>
        <w:tc>
          <w:tcPr>
            <w:tcW w:w="4535" w:type="dxa"/>
            <w:vAlign w:val="center"/>
          </w:tcPr>
          <w:p>
            <w:pPr>
              <w:pStyle w:val="16"/>
            </w:pPr>
            <w:r>
              <w:t>本年支出合计</w:t>
            </w:r>
          </w:p>
        </w:tc>
        <w:tc>
          <w:tcPr>
            <w:tcW w:w="2126" w:type="dxa"/>
            <w:vAlign w:val="center"/>
          </w:tcPr>
          <w:p>
            <w:pPr>
              <w:pStyle w:val="17"/>
            </w:pPr>
            <w:r>
              <w:t>544.79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544.79</w:t>
            </w:r>
          </w:p>
        </w:tc>
        <w:tc>
          <w:tcPr>
            <w:tcW w:w="4535" w:type="dxa"/>
            <w:vAlign w:val="center"/>
          </w:tcPr>
          <w:p>
            <w:pPr>
              <w:pStyle w:val="16"/>
            </w:pPr>
            <w:r>
              <w:t>支出总计</w:t>
            </w:r>
          </w:p>
        </w:tc>
        <w:tc>
          <w:tcPr>
            <w:tcW w:w="2126" w:type="dxa"/>
            <w:vAlign w:val="center"/>
          </w:tcPr>
          <w:p>
            <w:pPr>
              <w:pStyle w:val="17"/>
            </w:pPr>
            <w:r>
              <w:t>544.79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455石家庄市长安区信访局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544.79</w:t>
            </w:r>
          </w:p>
        </w:tc>
        <w:tc>
          <w:tcPr>
            <w:tcW w:w="1134" w:type="dxa"/>
            <w:vAlign w:val="center"/>
          </w:tcPr>
          <w:p>
            <w:pPr>
              <w:pStyle w:val="17"/>
            </w:pPr>
            <w:r>
              <w:t>544.79</w:t>
            </w:r>
          </w:p>
        </w:tc>
        <w:tc>
          <w:tcPr>
            <w:tcW w:w="1134" w:type="dxa"/>
            <w:vAlign w:val="center"/>
          </w:tcPr>
          <w:p>
            <w:pPr>
              <w:pStyle w:val="17"/>
            </w:pPr>
            <w:r>
              <w:t>544.79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334.49</w:t>
            </w:r>
          </w:p>
        </w:tc>
        <w:tc>
          <w:tcPr>
            <w:tcW w:w="1134" w:type="dxa"/>
            <w:vAlign w:val="center"/>
          </w:tcPr>
          <w:p>
            <w:pPr>
              <w:pStyle w:val="13"/>
            </w:pPr>
            <w:r>
              <w:t>334.49</w:t>
            </w:r>
          </w:p>
        </w:tc>
        <w:tc>
          <w:tcPr>
            <w:tcW w:w="1134" w:type="dxa"/>
            <w:vAlign w:val="center"/>
          </w:tcPr>
          <w:p>
            <w:pPr>
              <w:pStyle w:val="13"/>
            </w:pPr>
            <w:r>
              <w:t>334.49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134.00</w:t>
            </w:r>
          </w:p>
        </w:tc>
        <w:tc>
          <w:tcPr>
            <w:tcW w:w="1134" w:type="dxa"/>
            <w:vAlign w:val="center"/>
          </w:tcPr>
          <w:p>
            <w:pPr>
              <w:pStyle w:val="13"/>
            </w:pPr>
            <w:r>
              <w:t>134.00</w:t>
            </w:r>
          </w:p>
        </w:tc>
        <w:tc>
          <w:tcPr>
            <w:tcW w:w="1134" w:type="dxa"/>
            <w:vAlign w:val="center"/>
          </w:tcPr>
          <w:p>
            <w:pPr>
              <w:pStyle w:val="13"/>
            </w:pPr>
            <w:r>
              <w:t>134.00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12.91</w:t>
            </w:r>
          </w:p>
        </w:tc>
        <w:tc>
          <w:tcPr>
            <w:tcW w:w="1134" w:type="dxa"/>
            <w:vAlign w:val="center"/>
          </w:tcPr>
          <w:p>
            <w:pPr>
              <w:pStyle w:val="13"/>
            </w:pPr>
            <w:r>
              <w:t>12.91</w:t>
            </w:r>
          </w:p>
        </w:tc>
        <w:tc>
          <w:tcPr>
            <w:tcW w:w="1134" w:type="dxa"/>
            <w:vAlign w:val="center"/>
          </w:tcPr>
          <w:p>
            <w:pPr>
              <w:pStyle w:val="13"/>
            </w:pPr>
            <w:r>
              <w:t>12.91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2.72</w:t>
            </w:r>
          </w:p>
        </w:tc>
        <w:tc>
          <w:tcPr>
            <w:tcW w:w="1134" w:type="dxa"/>
            <w:vAlign w:val="center"/>
          </w:tcPr>
          <w:p>
            <w:pPr>
              <w:pStyle w:val="13"/>
            </w:pPr>
            <w:r>
              <w:t>2.72</w:t>
            </w:r>
          </w:p>
        </w:tc>
        <w:tc>
          <w:tcPr>
            <w:tcW w:w="1134" w:type="dxa"/>
            <w:vAlign w:val="center"/>
          </w:tcPr>
          <w:p>
            <w:pPr>
              <w:pStyle w:val="13"/>
            </w:pPr>
            <w:r>
              <w:t>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544.79</w:t>
            </w:r>
          </w:p>
        </w:tc>
        <w:tc>
          <w:tcPr>
            <w:tcW w:w="1361" w:type="dxa"/>
            <w:vAlign w:val="center"/>
          </w:tcPr>
          <w:p>
            <w:pPr>
              <w:pStyle w:val="17"/>
            </w:pPr>
            <w:r>
              <w:t>410.79</w:t>
            </w:r>
          </w:p>
        </w:tc>
        <w:tc>
          <w:tcPr>
            <w:tcW w:w="1361" w:type="dxa"/>
            <w:vAlign w:val="center"/>
          </w:tcPr>
          <w:p>
            <w:pPr>
              <w:pStyle w:val="17"/>
            </w:pPr>
            <w:r>
              <w:t>134.00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468.49</w:t>
            </w:r>
          </w:p>
        </w:tc>
        <w:tc>
          <w:tcPr>
            <w:tcW w:w="1361" w:type="dxa"/>
            <w:vAlign w:val="center"/>
          </w:tcPr>
          <w:p>
            <w:pPr>
              <w:pStyle w:val="13"/>
            </w:pPr>
            <w:r>
              <w:t>334.49</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468.49</w:t>
            </w:r>
          </w:p>
        </w:tc>
        <w:tc>
          <w:tcPr>
            <w:tcW w:w="1361" w:type="dxa"/>
            <w:vAlign w:val="center"/>
          </w:tcPr>
          <w:p>
            <w:pPr>
              <w:pStyle w:val="13"/>
            </w:pPr>
            <w:r>
              <w:t>334.49</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334.49</w:t>
            </w:r>
          </w:p>
        </w:tc>
        <w:tc>
          <w:tcPr>
            <w:tcW w:w="1361" w:type="dxa"/>
            <w:vAlign w:val="center"/>
          </w:tcPr>
          <w:p>
            <w:pPr>
              <w:pStyle w:val="13"/>
            </w:pPr>
            <w:r>
              <w:t>334.49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15.63</w:t>
            </w:r>
          </w:p>
        </w:tc>
        <w:tc>
          <w:tcPr>
            <w:tcW w:w="1361" w:type="dxa"/>
            <w:vAlign w:val="center"/>
          </w:tcPr>
          <w:p>
            <w:pPr>
              <w:pStyle w:val="13"/>
            </w:pPr>
            <w:r>
              <w:t>15.63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15.63</w:t>
            </w:r>
          </w:p>
        </w:tc>
        <w:tc>
          <w:tcPr>
            <w:tcW w:w="1361" w:type="dxa"/>
            <w:vAlign w:val="center"/>
          </w:tcPr>
          <w:p>
            <w:pPr>
              <w:pStyle w:val="13"/>
            </w:pPr>
            <w:r>
              <w:t>15.63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12.91</w:t>
            </w:r>
          </w:p>
        </w:tc>
        <w:tc>
          <w:tcPr>
            <w:tcW w:w="1361" w:type="dxa"/>
            <w:vAlign w:val="center"/>
          </w:tcPr>
          <w:p>
            <w:pPr>
              <w:pStyle w:val="13"/>
            </w:pPr>
            <w:r>
              <w:t>12.91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2.72</w:t>
            </w:r>
          </w:p>
        </w:tc>
        <w:tc>
          <w:tcPr>
            <w:tcW w:w="1361" w:type="dxa"/>
            <w:vAlign w:val="center"/>
          </w:tcPr>
          <w:p>
            <w:pPr>
              <w:pStyle w:val="13"/>
            </w:pPr>
            <w:r>
              <w:t>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544.79</w:t>
            </w:r>
          </w:p>
        </w:tc>
        <w:tc>
          <w:tcPr>
            <w:tcW w:w="3402" w:type="dxa"/>
            <w:vAlign w:val="center"/>
          </w:tcPr>
          <w:p>
            <w:pPr>
              <w:pStyle w:val="14"/>
            </w:pPr>
            <w:r>
              <w:t>一、一般公共服务支出</w:t>
            </w:r>
          </w:p>
        </w:tc>
        <w:tc>
          <w:tcPr>
            <w:tcW w:w="1474" w:type="dxa"/>
            <w:vAlign w:val="center"/>
          </w:tcPr>
          <w:p>
            <w:pPr>
              <w:pStyle w:val="13"/>
            </w:pPr>
            <w:r>
              <w:t>468.49</w:t>
            </w:r>
          </w:p>
        </w:tc>
        <w:tc>
          <w:tcPr>
            <w:tcW w:w="1474" w:type="dxa"/>
            <w:vAlign w:val="center"/>
          </w:tcPr>
          <w:p>
            <w:pPr>
              <w:pStyle w:val="13"/>
            </w:pPr>
            <w:r>
              <w:t>468.49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31.30</w:t>
            </w:r>
          </w:p>
        </w:tc>
        <w:tc>
          <w:tcPr>
            <w:tcW w:w="1474" w:type="dxa"/>
            <w:vAlign w:val="center"/>
          </w:tcPr>
          <w:p>
            <w:pPr>
              <w:pStyle w:val="13"/>
            </w:pPr>
            <w:r>
              <w:t>31.30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15.63</w:t>
            </w:r>
          </w:p>
        </w:tc>
        <w:tc>
          <w:tcPr>
            <w:tcW w:w="1474" w:type="dxa"/>
            <w:vAlign w:val="center"/>
          </w:tcPr>
          <w:p>
            <w:pPr>
              <w:pStyle w:val="13"/>
            </w:pPr>
            <w:r>
              <w:t>15.63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29.37</w:t>
            </w:r>
          </w:p>
        </w:tc>
        <w:tc>
          <w:tcPr>
            <w:tcW w:w="1474" w:type="dxa"/>
            <w:vAlign w:val="center"/>
          </w:tcPr>
          <w:p>
            <w:pPr>
              <w:pStyle w:val="13"/>
            </w:pPr>
            <w:r>
              <w:t>29.37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544.79</w:t>
            </w:r>
          </w:p>
        </w:tc>
        <w:tc>
          <w:tcPr>
            <w:tcW w:w="3402" w:type="dxa"/>
            <w:vAlign w:val="center"/>
          </w:tcPr>
          <w:p>
            <w:pPr>
              <w:pStyle w:val="16"/>
            </w:pPr>
            <w:r>
              <w:t>本年支出合计</w:t>
            </w:r>
          </w:p>
        </w:tc>
        <w:tc>
          <w:tcPr>
            <w:tcW w:w="1474" w:type="dxa"/>
            <w:vAlign w:val="center"/>
          </w:tcPr>
          <w:p>
            <w:pPr>
              <w:pStyle w:val="17"/>
            </w:pPr>
            <w:r>
              <w:t>544.79</w:t>
            </w:r>
          </w:p>
        </w:tc>
        <w:tc>
          <w:tcPr>
            <w:tcW w:w="1474" w:type="dxa"/>
            <w:vAlign w:val="center"/>
          </w:tcPr>
          <w:p>
            <w:pPr>
              <w:pStyle w:val="17"/>
            </w:pPr>
            <w:r>
              <w:t>544.79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544.79</w:t>
            </w:r>
          </w:p>
        </w:tc>
        <w:tc>
          <w:tcPr>
            <w:tcW w:w="3402" w:type="dxa"/>
            <w:vAlign w:val="center"/>
          </w:tcPr>
          <w:p>
            <w:pPr>
              <w:pStyle w:val="16"/>
            </w:pPr>
            <w:r>
              <w:t>支出总计</w:t>
            </w:r>
          </w:p>
        </w:tc>
        <w:tc>
          <w:tcPr>
            <w:tcW w:w="1474" w:type="dxa"/>
            <w:vAlign w:val="center"/>
          </w:tcPr>
          <w:p>
            <w:pPr>
              <w:pStyle w:val="17"/>
            </w:pPr>
            <w:r>
              <w:t>544.79</w:t>
            </w:r>
          </w:p>
        </w:tc>
        <w:tc>
          <w:tcPr>
            <w:tcW w:w="1474" w:type="dxa"/>
            <w:vAlign w:val="center"/>
          </w:tcPr>
          <w:p>
            <w:pPr>
              <w:pStyle w:val="17"/>
            </w:pPr>
            <w:r>
              <w:t>544.79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544.79</w:t>
            </w:r>
          </w:p>
        </w:tc>
        <w:tc>
          <w:tcPr>
            <w:tcW w:w="2551" w:type="dxa"/>
            <w:vAlign w:val="center"/>
          </w:tcPr>
          <w:p>
            <w:pPr>
              <w:pStyle w:val="17"/>
            </w:pPr>
            <w:r>
              <w:t>410.79</w:t>
            </w:r>
          </w:p>
        </w:tc>
        <w:tc>
          <w:tcPr>
            <w:tcW w:w="2551" w:type="dxa"/>
            <w:vAlign w:val="center"/>
          </w:tcPr>
          <w:p>
            <w:pPr>
              <w:pStyle w:val="17"/>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468.49</w:t>
            </w:r>
          </w:p>
        </w:tc>
        <w:tc>
          <w:tcPr>
            <w:tcW w:w="2551" w:type="dxa"/>
            <w:vAlign w:val="center"/>
          </w:tcPr>
          <w:p>
            <w:pPr>
              <w:pStyle w:val="13"/>
            </w:pPr>
            <w:r>
              <w:t>334.49</w:t>
            </w: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468.49</w:t>
            </w:r>
          </w:p>
        </w:tc>
        <w:tc>
          <w:tcPr>
            <w:tcW w:w="2551" w:type="dxa"/>
            <w:vAlign w:val="center"/>
          </w:tcPr>
          <w:p>
            <w:pPr>
              <w:pStyle w:val="13"/>
            </w:pPr>
            <w:r>
              <w:t>334.49</w:t>
            </w: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334.49</w:t>
            </w:r>
          </w:p>
        </w:tc>
        <w:tc>
          <w:tcPr>
            <w:tcW w:w="2551" w:type="dxa"/>
            <w:vAlign w:val="center"/>
          </w:tcPr>
          <w:p>
            <w:pPr>
              <w:pStyle w:val="13"/>
            </w:pPr>
            <w:r>
              <w:t>334.49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134.00</w:t>
            </w:r>
          </w:p>
        </w:tc>
        <w:tc>
          <w:tcPr>
            <w:tcW w:w="2551" w:type="dxa"/>
            <w:vAlign w:val="center"/>
          </w:tcPr>
          <w:p>
            <w:pPr>
              <w:pStyle w:val="13"/>
            </w:pP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15.63</w:t>
            </w:r>
          </w:p>
        </w:tc>
        <w:tc>
          <w:tcPr>
            <w:tcW w:w="2551" w:type="dxa"/>
            <w:vAlign w:val="center"/>
          </w:tcPr>
          <w:p>
            <w:pPr>
              <w:pStyle w:val="13"/>
            </w:pPr>
            <w:r>
              <w:t>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15.63</w:t>
            </w:r>
          </w:p>
        </w:tc>
        <w:tc>
          <w:tcPr>
            <w:tcW w:w="2551" w:type="dxa"/>
            <w:vAlign w:val="center"/>
          </w:tcPr>
          <w:p>
            <w:pPr>
              <w:pStyle w:val="13"/>
            </w:pPr>
            <w:r>
              <w:t>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2.72</w:t>
            </w:r>
          </w:p>
        </w:tc>
        <w:tc>
          <w:tcPr>
            <w:tcW w:w="2551" w:type="dxa"/>
            <w:vAlign w:val="center"/>
          </w:tcPr>
          <w:p>
            <w:pPr>
              <w:pStyle w:val="13"/>
            </w:pPr>
            <w:r>
              <w:t>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410.79</w:t>
            </w:r>
          </w:p>
        </w:tc>
        <w:tc>
          <w:tcPr>
            <w:tcW w:w="2551" w:type="dxa"/>
            <w:vAlign w:val="center"/>
          </w:tcPr>
          <w:p>
            <w:pPr>
              <w:pStyle w:val="17"/>
            </w:pPr>
            <w:r>
              <w:t>382.96</w:t>
            </w:r>
          </w:p>
        </w:tc>
        <w:tc>
          <w:tcPr>
            <w:tcW w:w="2551" w:type="dxa"/>
            <w:vAlign w:val="center"/>
          </w:tcPr>
          <w:p>
            <w:pPr>
              <w:pStyle w:val="17"/>
            </w:pPr>
            <w:r>
              <w:t>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360.46</w:t>
            </w:r>
          </w:p>
        </w:tc>
        <w:tc>
          <w:tcPr>
            <w:tcW w:w="2551" w:type="dxa"/>
            <w:vAlign w:val="center"/>
          </w:tcPr>
          <w:p>
            <w:pPr>
              <w:pStyle w:val="13"/>
            </w:pPr>
            <w:r>
              <w:t>360.46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93.92</w:t>
            </w:r>
          </w:p>
        </w:tc>
        <w:tc>
          <w:tcPr>
            <w:tcW w:w="2551" w:type="dxa"/>
            <w:vAlign w:val="center"/>
          </w:tcPr>
          <w:p>
            <w:pPr>
              <w:pStyle w:val="13"/>
            </w:pPr>
            <w:r>
              <w:t>93.92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60.32</w:t>
            </w:r>
          </w:p>
        </w:tc>
        <w:tc>
          <w:tcPr>
            <w:tcW w:w="2551" w:type="dxa"/>
            <w:vAlign w:val="center"/>
          </w:tcPr>
          <w:p>
            <w:pPr>
              <w:pStyle w:val="13"/>
            </w:pPr>
            <w:r>
              <w:t>60.32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41.06</w:t>
            </w:r>
          </w:p>
        </w:tc>
        <w:tc>
          <w:tcPr>
            <w:tcW w:w="2551" w:type="dxa"/>
            <w:vAlign w:val="center"/>
          </w:tcPr>
          <w:p>
            <w:pPr>
              <w:pStyle w:val="13"/>
            </w:pPr>
            <w:r>
              <w:t>41.06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70.42</w:t>
            </w:r>
          </w:p>
        </w:tc>
        <w:tc>
          <w:tcPr>
            <w:tcW w:w="2551" w:type="dxa"/>
            <w:vAlign w:val="center"/>
          </w:tcPr>
          <w:p>
            <w:pPr>
              <w:pStyle w:val="13"/>
            </w:pPr>
            <w:r>
              <w:t>70.42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2.72</w:t>
            </w:r>
          </w:p>
        </w:tc>
        <w:tc>
          <w:tcPr>
            <w:tcW w:w="2551" w:type="dxa"/>
            <w:vAlign w:val="center"/>
          </w:tcPr>
          <w:p>
            <w:pPr>
              <w:pStyle w:val="13"/>
            </w:pPr>
            <w:r>
              <w:t>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17.20</w:t>
            </w:r>
          </w:p>
        </w:tc>
        <w:tc>
          <w:tcPr>
            <w:tcW w:w="2551" w:type="dxa"/>
            <w:vAlign w:val="center"/>
          </w:tcPr>
          <w:p>
            <w:pPr>
              <w:pStyle w:val="13"/>
            </w:pPr>
            <w:r>
              <w:t>17.20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27.83</w:t>
            </w:r>
          </w:p>
        </w:tc>
        <w:tc>
          <w:tcPr>
            <w:tcW w:w="2551" w:type="dxa"/>
            <w:vAlign w:val="center"/>
          </w:tcPr>
          <w:p>
            <w:pPr>
              <w:pStyle w:val="13"/>
            </w:pPr>
          </w:p>
        </w:tc>
        <w:tc>
          <w:tcPr>
            <w:tcW w:w="2551" w:type="dxa"/>
            <w:vAlign w:val="center"/>
          </w:tcPr>
          <w:p>
            <w:pPr>
              <w:pStyle w:val="13"/>
            </w:pPr>
            <w:r>
              <w:t>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4.05</w:t>
            </w:r>
          </w:p>
        </w:tc>
        <w:tc>
          <w:tcPr>
            <w:tcW w:w="2551" w:type="dxa"/>
            <w:vAlign w:val="center"/>
          </w:tcPr>
          <w:p>
            <w:pPr>
              <w:pStyle w:val="13"/>
            </w:pPr>
          </w:p>
        </w:tc>
        <w:tc>
          <w:tcPr>
            <w:tcW w:w="2551"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5.37</w:t>
            </w:r>
          </w:p>
        </w:tc>
        <w:tc>
          <w:tcPr>
            <w:tcW w:w="2551" w:type="dxa"/>
            <w:vAlign w:val="center"/>
          </w:tcPr>
          <w:p>
            <w:pPr>
              <w:pStyle w:val="13"/>
            </w:pPr>
          </w:p>
        </w:tc>
        <w:tc>
          <w:tcPr>
            <w:tcW w:w="2551" w:type="dxa"/>
            <w:vAlign w:val="center"/>
          </w:tcPr>
          <w:p>
            <w:pPr>
              <w:pStyle w:val="13"/>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2.96</w:t>
            </w:r>
          </w:p>
        </w:tc>
        <w:tc>
          <w:tcPr>
            <w:tcW w:w="2551" w:type="dxa"/>
            <w:vAlign w:val="center"/>
          </w:tcPr>
          <w:p>
            <w:pPr>
              <w:pStyle w:val="13"/>
            </w:pPr>
          </w:p>
        </w:tc>
        <w:tc>
          <w:tcPr>
            <w:tcW w:w="2551" w:type="dxa"/>
            <w:vAlign w:val="center"/>
          </w:tcPr>
          <w:p>
            <w:pPr>
              <w:pStyle w:val="13"/>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7.08</w:t>
            </w:r>
          </w:p>
        </w:tc>
        <w:tc>
          <w:tcPr>
            <w:tcW w:w="2551" w:type="dxa"/>
            <w:vAlign w:val="center"/>
          </w:tcPr>
          <w:p>
            <w:pPr>
              <w:pStyle w:val="13"/>
            </w:pPr>
          </w:p>
        </w:tc>
        <w:tc>
          <w:tcPr>
            <w:tcW w:w="2551"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4.13</w:t>
            </w:r>
          </w:p>
        </w:tc>
        <w:tc>
          <w:tcPr>
            <w:tcW w:w="2551" w:type="dxa"/>
            <w:vAlign w:val="center"/>
          </w:tcPr>
          <w:p>
            <w:pPr>
              <w:pStyle w:val="13"/>
            </w:pPr>
          </w:p>
        </w:tc>
        <w:tc>
          <w:tcPr>
            <w:tcW w:w="2551"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22.50</w:t>
            </w:r>
          </w:p>
        </w:tc>
        <w:tc>
          <w:tcPr>
            <w:tcW w:w="2551" w:type="dxa"/>
            <w:vAlign w:val="center"/>
          </w:tcPr>
          <w:p>
            <w:pPr>
              <w:pStyle w:val="13"/>
            </w:pPr>
            <w:r>
              <w:t>22.50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22.50</w:t>
            </w:r>
          </w:p>
        </w:tc>
        <w:tc>
          <w:tcPr>
            <w:tcW w:w="2551" w:type="dxa"/>
            <w:vAlign w:val="center"/>
          </w:tcPr>
          <w:p>
            <w:pPr>
              <w:pStyle w:val="13"/>
            </w:pPr>
            <w:r>
              <w:t>22.50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455石家庄市长安区信访局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按照《中华人民共和国预算法》、《地方预决算公开操作规程》和《关于进一步推进预算公开工作的实施意见》规定，现将石家庄市长安区信访局2026年部门预算公开如下：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长安区信访局为区委工作籍贯，机构规格正科级。</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研究提出全区信访工作思路，贯彻落实有关信访法规、规章。</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办理人民群众来信，接待群众来访，受理群众网上投诉，查办信访案件，承办区领导电子信箱有关信访工作，负责人民群众建议征集工作。</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调查研究和综合分析全区信访形势及信访工作状况，总结推广各地各部门信访工作经验，提出改进和加强信访工作的意见和建议。</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参与组织、协调、知道全区社会治安综合治理和维护社会稳定工作，协助报账国家、省、市重大政治活动顺利进行，参与处理影响社会政治稳定的突发性、群体性事件。</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督促检查和知道各街镇和区直部门的信访工作，对各街镇和区直有关部门信访工作年度责任目标进行考核，对全区社会治安综合治理和维护社会稳定年度责任目标中有关信访工作进行考核。</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协助国家信访局、省信访局、市信访局处理长安区群众进京上访工作，综合协调处理跨地区、跨部门、跨行业的重要信访问题，协助有关部门维护区委、区政府机关正常工作秩序。</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负责省、市、区领导及省、市直、区直部门领导公开接访和包联案件的组织协调工作。</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承担石家庄市长安区信访工作联席会议的日常工作，督促落实联席会议决定的事项。</w:t>
      </w:r>
    </w:p>
    <w:p>
      <w:pPr>
        <w:keepNext w:val="0"/>
        <w:keepLines w:val="0"/>
        <w:widowControl/>
        <w:suppressLineNumbers w:val="0"/>
        <w:spacing w:before="0" w:beforeAutospacing="0" w:after="0" w:afterAutospacing="0" w:line="520" w:lineRule="atLeast"/>
        <w:ind w:left="0" w:right="0" w:firstLine="640"/>
        <w:jc w:val="left"/>
        <w:rPr>
          <w:rFonts w:ascii="宋体" w:hAnsi="宋体" w:eastAsia="宋体" w:cs="宋体"/>
          <w:b w:val="0"/>
          <w:bCs w:val="0"/>
          <w:i w:val="0"/>
          <w:iCs w:val="0"/>
          <w:caps w:val="0"/>
          <w:color w:val="000000"/>
          <w:spacing w:val="0"/>
          <w:sz w:val="32"/>
          <w:szCs w:val="32"/>
        </w:rPr>
      </w:pPr>
      <w:r>
        <w:rPr>
          <w:rFonts w:ascii="宋体" w:hAnsi="宋体" w:eastAsia="宋体" w:cs="宋体"/>
          <w:b w:val="0"/>
          <w:bCs w:val="0"/>
          <w:i w:val="0"/>
          <w:iCs w:val="0"/>
          <w:caps w:val="0"/>
          <w:color w:val="000000"/>
          <w:spacing w:val="0"/>
          <w:kern w:val="0"/>
          <w:sz w:val="32"/>
          <w:szCs w:val="32"/>
          <w:lang w:val="en-US" w:eastAsia="zh-CN" w:bidi="ar"/>
        </w:rPr>
        <w:t>完成区委、区政府以及国家、省、市信访局交办的其他任务。</w:t>
      </w:r>
    </w:p>
    <w:p>
      <w:pPr>
        <w:keepNext w:val="0"/>
        <w:keepLines w:val="0"/>
        <w:widowControl/>
        <w:suppressLineNumbers w:val="0"/>
        <w:spacing w:before="0" w:beforeAutospacing="0" w:after="0" w:afterAutospacing="0" w:line="15" w:lineRule="atLeast"/>
        <w:ind w:left="0" w:right="0" w:firstLine="0"/>
        <w:jc w:val="left"/>
        <w:rPr>
          <w:rFonts w:ascii="Calibri" w:hAnsi="Calibri" w:cs="Calibri"/>
          <w:b w:val="0"/>
          <w:bCs w:val="0"/>
          <w:i w:val="0"/>
          <w:iCs w:val="0"/>
          <w:caps w:val="0"/>
          <w:color w:val="000000"/>
          <w:spacing w:val="0"/>
          <w:sz w:val="21"/>
          <w:szCs w:val="21"/>
        </w:rPr>
      </w:pPr>
      <w:r>
        <w:rPr>
          <w:rFonts w:hint="default" w:ascii="Calibri" w:hAnsi="Calibri" w:eastAsia="宋体" w:cs="Calibri"/>
          <w:b w:val="0"/>
          <w:bCs w:val="0"/>
          <w:i w:val="0"/>
          <w:iCs w:val="0"/>
          <w:caps w:val="0"/>
          <w:color w:val="000000"/>
          <w:spacing w:val="0"/>
          <w:kern w:val="0"/>
          <w:sz w:val="21"/>
          <w:szCs w:val="21"/>
          <w:lang w:val="en-US" w:eastAsia="zh-CN" w:bidi="ar"/>
        </w:rPr>
        <w:t> </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石家庄市长安区信访局本级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按照预算管理有关规定，目前部门预算的编制实行综合预算管理，即全部收入和支出都反映在预算中。石家庄市长安区信访局机关及所属事业单位的收支包含在部门预算中。</w:t>
      </w:r>
    </w:p>
    <w:p>
      <w:pPr>
        <w:pStyle w:val="20"/>
      </w:pPr>
      <w:r>
        <w:t>1、收入说明</w:t>
      </w:r>
    </w:p>
    <w:p>
      <w:pPr>
        <w:pStyle w:val="20"/>
      </w:pPr>
      <w:r>
        <w:t>反映本部门当年全部收入。2026年预算收入544.79万元，其中：一般公共预算收入544.79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长安区信访局年度部门预算中支出预算的总体情况。2026年支出预算544.79万元，其中基本支出410.79万元，包括人员经费382.96万元和日常公用经费27.83万元；项目支出134.00万元，主要为项目支出我、为做好信访保障支出经费。；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544.79万元，较2025年预算增加109.90万元，其中：基本支出增加24.86万元，主要为有新进事业编人员，增加工资及保险等费用。项目支出增加85.04万元，主要为信访压力大，增加上级专款及信访保障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2026年，我部门机关运行经费共计安排27.83万元，主要用于日常维修、办公用房水电费、办公用房取暖费、办公用房物业管理费等日常运行支出。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2.43万元，其中因公出国（境）费0.00万元；公务用车购置及运维费2.43万元（其中：公务用车购置费为0.00万元，公务用车运维费2.43万元)；公务接待费0.00万元。与2025年相比减少0.08万元，增减变化的主要原因是节约开支，减少不必要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信访渠道，减少信访案件，维护社会和谐稳定。提高信访事项办理质量和效率，妥善处置非正常访，维护社会大局和谐稳定。推动重要信访事项解决，规范信访事项办理、终结。用好特殊疑难信访问题专项资金。对生活确实困难的信访人进行救助。进一步提高信访干部业务能力；吸收可行建议，改进信访工作；提高信访信息化应用水平，实现办公自动化、网络化智能化。保障机要邮件正常传递；确保相关会议正常召开，维护好群众工作中心正常运行，进一步提高信访干部业务能力；吸收可行建议，改进信访工作；提高信访信息化应用水平，实现办公自动化、网络化智能化。保障机要邮件正常传递和信访接待楼正常运转；确保相关会议正常召开。</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一、财政财务管理工作进一步规范化</w:t>
      </w:r>
    </w:p>
    <w:p>
      <w:pPr>
        <w:pStyle w:val="24"/>
      </w:pPr>
      <w:r>
        <w:t>绩效目标：预算编制更加细化，实现财政预决算公开内容完备，时间及时、科学规范。资金分配使用更加高效透明，财政资金支出机制得到健全，资金支出更加及时高效，均衡有序，效益进一步发挥，财政监督更加有力，绩效评价工作质量进一步提高，加大高端会计人才培养力度，强化会计资格，考试考务管理工作，加强资产评估管理，科学依法理财能力得到提高。</w:t>
      </w:r>
    </w:p>
    <w:p>
      <w:pPr>
        <w:pStyle w:val="24"/>
      </w:pPr>
      <w:r>
        <w:t>二、信访问题处理</w:t>
      </w:r>
    </w:p>
    <w:p>
      <w:pPr>
        <w:pStyle w:val="24"/>
      </w:pPr>
      <w:r>
        <w:t>畅通信访渠道、减少信访案件，维护社会和谐稳定，负责正常、非访、突发性及群众性事件的办理，提供相关服务保障。负责全区群众进京上访，信访事项督查、复查复核，听证。负责区委区政府交办的其他事项。</w:t>
      </w:r>
    </w:p>
    <w:p>
      <w:pPr>
        <w:pStyle w:val="24"/>
      </w:pPr>
      <w:r>
        <w:t>三、信访救助</w:t>
      </w:r>
    </w:p>
    <w:p>
      <w:pPr>
        <w:pStyle w:val="24"/>
      </w:pPr>
      <w:r>
        <w:t>对确实生活困难得信访人进行救助。</w:t>
      </w:r>
    </w:p>
    <w:p>
      <w:pPr>
        <w:pStyle w:val="24"/>
      </w:pPr>
      <w:r>
        <w:t>四、提高信访干部业务能力</w:t>
      </w:r>
    </w:p>
    <w:p>
      <w:pPr>
        <w:pStyle w:val="24"/>
      </w:pPr>
      <w:r>
        <w:t>吸收可行建议，改进信访工作，提高信访信息化应用水平，实现办公自动化</w:t>
      </w:r>
    </w:p>
    <w:p>
      <w:pPr>
        <w:pStyle w:val="24"/>
      </w:pPr>
      <w:r>
        <w:t>，网络化智能化。</w:t>
      </w:r>
    </w:p>
    <w:p>
      <w:pPr>
        <w:pStyle w:val="24"/>
      </w:pPr>
    </w:p>
    <w:p>
      <w:pPr>
        <w:pStyle w:val="24"/>
      </w:pPr>
    </w:p>
    <w:p>
      <w:pPr>
        <w:pStyle w:val="24"/>
      </w:pPr>
      <w:r>
        <w:t>1、信访问题处理</w:t>
      </w:r>
    </w:p>
    <w:p>
      <w:pPr>
        <w:pStyle w:val="24"/>
      </w:pPr>
      <w:r>
        <w:t>绩效目标：畅通信访渠道，减少信访案件，维护社会和谐稳定。</w:t>
      </w:r>
    </w:p>
    <w:p>
      <w:pPr>
        <w:pStyle w:val="24"/>
      </w:pPr>
      <w:r>
        <w:t>绩效指标：负责正常信访、非访、突发性及群体性事件的办理；提供相关服务保障；负责处理全区群众进京上访；信访事项督查、复查复核、听证；负责区委区政府交办的其他事项。</w:t>
      </w:r>
    </w:p>
    <w:p>
      <w:pPr>
        <w:pStyle w:val="24"/>
      </w:pPr>
      <w:r>
        <w:t>2、信访业务办理</w:t>
      </w:r>
    </w:p>
    <w:p>
      <w:pPr>
        <w:pStyle w:val="24"/>
      </w:pPr>
      <w:r>
        <w:t>绩效目标：畅通信访渠道，提高信访事项办理质量和效率</w:t>
      </w:r>
    </w:p>
    <w:p>
      <w:pPr>
        <w:pStyle w:val="24"/>
      </w:pPr>
      <w:r>
        <w:t>绩效指标：办理人民群众来信、来访、网上信访。协助上级单位处理本区群众进京上访；重大活动期间的正常上访和越级上访工作。</w:t>
      </w:r>
    </w:p>
    <w:p>
      <w:pPr>
        <w:pStyle w:val="24"/>
      </w:pPr>
      <w:r>
        <w:t>3、处置非访、突发性及群体性事件</w:t>
      </w:r>
    </w:p>
    <w:p>
      <w:pPr>
        <w:pStyle w:val="24"/>
      </w:pPr>
      <w:r>
        <w:t>绩效目标：妥善处置非正常访，维护社会大局和谐稳定</w:t>
      </w:r>
    </w:p>
    <w:p>
      <w:pPr>
        <w:pStyle w:val="24"/>
      </w:pPr>
      <w:r>
        <w:t>绩效指标：协助公安机关维护重点区域的正常工作秩序；处置影响社会政治稳定的各类非访、突发性、群体性事件；负责组织协调、稳控劝返并做好服务保障工作；重大敏感时期本地和驻京信访保障工作；参加市里统一安排的驻京保障工作，根据我区信访形势，做好区里要求的长期驻京值班信访稳定保障工作，处理全区群众进京非访工作</w:t>
      </w:r>
    </w:p>
    <w:p>
      <w:pPr>
        <w:pStyle w:val="24"/>
      </w:pPr>
      <w:r>
        <w:t>4、信访救助</w:t>
      </w:r>
    </w:p>
    <w:p>
      <w:pPr>
        <w:pStyle w:val="24"/>
      </w:pPr>
      <w:r>
        <w:t>绩效目标：对生活确实困难的信访人进行救助。</w:t>
      </w:r>
    </w:p>
    <w:p>
      <w:pPr>
        <w:pStyle w:val="24"/>
      </w:pPr>
      <w:r>
        <w:t>绩效指标：对生活确实困难的信访人进行救助</w:t>
      </w:r>
    </w:p>
    <w:p>
      <w:pPr>
        <w:pStyle w:val="24"/>
      </w:pPr>
      <w:r>
        <w:t>5、信访事务管理</w:t>
      </w:r>
    </w:p>
    <w:p>
      <w:pPr>
        <w:pStyle w:val="24"/>
      </w:pPr>
      <w:r>
        <w:t>绩效目标：进一步提高信访干部业务能力；吸收可行建议，改进信访工作；提高信访信息化应用水平，实现办公自动化、网络化智能化。保障机要邮件正常传递；确保相关会议正常召开，维护好群众工作中心正常运行</w:t>
      </w:r>
    </w:p>
    <w:p>
      <w:pPr>
        <w:pStyle w:val="24"/>
      </w:pPr>
      <w:r>
        <w:t>绩效指标：拟定信访工作方针政策；调研提出信访工作对策建议；督促检查和指导全区信访工作；机关日常工作</w:t>
      </w:r>
    </w:p>
    <w:p>
      <w:pPr>
        <w:pStyle w:val="24"/>
      </w:pPr>
      <w:r>
        <w:t>6、信访服务中心</w:t>
      </w:r>
    </w:p>
    <w:p>
      <w:pPr>
        <w:pStyle w:val="24"/>
      </w:pPr>
      <w:r>
        <w:t>绩效目标：努力把社会矛盾纠纷解决在初始，化解在当地，实施分类引导，领导干部接访，三级调处，信访听证，社会力量参与，教育疏导，监督监察，群众满意度评价等工作机制。</w:t>
      </w:r>
    </w:p>
    <w:p>
      <w:pPr>
        <w:pStyle w:val="24"/>
      </w:pPr>
      <w:r>
        <w:t>绩效指标：登记受理群众来访事项，职能部门接待窗口负责接待调处、现场答复和报结回复、告知以及宣传等工作；牵头、接待、调处涉及多个部门和一些跨区域的信访件及重要、疑难信访问题；督促检查各职能部门继续做好本单位的来访接待和信访件的报结、回复工作。组织协调区党政领导和有关部门负责人参与接待群众来访工作。做好群众工作中心日常维护和管理。做好群众工作中心对信访条例以及政策规范的宣传。做好群众工作中心工作人员经费、工资、保险等保障支出。</w:t>
      </w:r>
    </w:p>
    <w:p>
      <w:pPr>
        <w:pStyle w:val="24"/>
      </w:pPr>
      <w:r>
        <w:t>7、其他综合事务管理</w:t>
      </w:r>
    </w:p>
    <w:p>
      <w:pPr>
        <w:pStyle w:val="24"/>
      </w:pPr>
      <w:r>
        <w:t>绩效目标：进一步提高信访干部业务能力；吸收可行建议，改进信访工作；提高信访信息化应用水平，实现办公自动化、网络化智能化。保障机要邮件正常传递和信访接待楼正常运转；确保相关会议正常召开。</w:t>
      </w:r>
    </w:p>
    <w:p>
      <w:pPr>
        <w:pStyle w:val="24"/>
      </w:pPr>
      <w:r>
        <w:t>绩效指标 ：拟定信访工作方针政策；调研提出信访工作对策建议；督促检查和指导全区信访工作；业务培训、人民建议征集；公务外网建设与运维管理。机关文书档案、会计档案保管和文件印刷管理，机关人事、离退休人员服务，培训，财务、基建、后勤服务、维持局内日常办公运转所需办公耗材及办公设备；一线信访工作岗位津贴；领导交办的其他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完善制度建设。建立健全机关预算绩效管理制度，为全年预算绩效目标的实现奠定制度基础。</w:t>
      </w:r>
    </w:p>
    <w:p>
      <w:pPr>
        <w:pStyle w:val="25"/>
      </w:pPr>
      <w:r>
        <w:t>加强支出管理。进一步完善财务管理制度，通过科学编制预算，优化支出结构，加快政府茨沟， </w:t>
      </w:r>
    </w:p>
    <w:p>
      <w:pPr>
        <w:pStyle w:val="25"/>
      </w:pPr>
      <w:r>
        <w:t> 加快项目建设，及时拨付资金，确保经费支出进度达到规定标准。</w:t>
      </w:r>
    </w:p>
    <w:p>
      <w:pPr>
        <w:pStyle w:val="25"/>
      </w:pPr>
      <w:r>
        <w:t>加强绩效运行监控。积极开展绩效运行监控，发现问题及时采取措施，确保绩效目标如期保质实现。</w:t>
      </w:r>
    </w:p>
    <w:p>
      <w:pPr>
        <w:pStyle w:val="25"/>
      </w:pPr>
      <w:r>
        <w:t> 做好绩效自评。按照要求开展上年度预算绩效自评和重点工作评价，对评价中发现问题及时整改，调整优化支出结构，提高财政资金使用效益。</w:t>
      </w:r>
    </w:p>
    <w:p>
      <w:pPr>
        <w:pStyle w:val="25"/>
      </w:pPr>
      <w:r>
        <w:t> 规范财务资产管理、完善财务管理制度，严格审批程序，加强固定资产登记、使用和报废处置管理，做到支出合理，物尽其用。</w:t>
      </w:r>
    </w:p>
    <w:p>
      <w:pPr>
        <w:pStyle w:val="25"/>
      </w:pPr>
      <w:r>
        <w:t> 加强内部监督。加强内部监督制度建设，对绩效运行情况，重大支出决策、对外投资、资产处置及其他重要经济业务事项的决策和执行进行督导，对会计资料进行内部审计，并配合做好审计、财政监督等外部工作，确保财政资金安全有效。</w:t>
      </w:r>
    </w:p>
    <w:p>
      <w:pPr>
        <w:pStyle w:val="25"/>
      </w:pPr>
      <w:r>
        <w:t> 加强宣传培训调研。加强人员培训，提高本部门职工业务素质，加强调研，提出优化财政资金配置，提高资金使用效益的意见，加大宣传力度，强化预算绩效管理意识，促进预算绩效管理水平进一步提升。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ind w:firstLine="640" w:firstLineChars="2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无部门主管专项资金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1、法治化工作经费绩效目标表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1440"/>
        <w:gridCol w:w="210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13010226P00004010008Q</w:t>
            </w:r>
          </w:p>
        </w:tc>
        <w:tc>
          <w:tcPr>
            <w:tcW w:w="2835" w:type="dxa"/>
            <w:vAlign w:val="center"/>
          </w:tcPr>
          <w:p>
            <w:pPr>
              <w:pStyle w:val="12"/>
            </w:pPr>
            <w:r>
              <w:t>项目名称</w:t>
            </w:r>
          </w:p>
        </w:tc>
        <w:tc>
          <w:tcPr>
            <w:tcW w:w="6095" w:type="dxa"/>
            <w:gridSpan w:val="3"/>
            <w:vAlign w:val="center"/>
          </w:tcPr>
          <w:p>
            <w:pPr>
              <w:pStyle w:val="14"/>
            </w:pPr>
            <w:r>
              <w:t>法治化工作经费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1440" w:type="dxa"/>
            <w:vAlign w:val="center"/>
          </w:tcPr>
          <w:p>
            <w:pPr>
              <w:pStyle w:val="12"/>
            </w:pPr>
            <w:r>
              <w:t>其他资金</w:t>
            </w:r>
          </w:p>
        </w:tc>
        <w:tc>
          <w:tcPr>
            <w:tcW w:w="2104"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做好法治化工作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1.做好法治化宣传工作，保障工作需要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1459"/>
        <w:gridCol w:w="20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1459" w:type="dxa"/>
            <w:vAlign w:val="center"/>
          </w:tcPr>
          <w:p>
            <w:pPr>
              <w:pStyle w:val="12"/>
            </w:pPr>
            <w:r>
              <w:t>指标值</w:t>
            </w:r>
          </w:p>
        </w:tc>
        <w:tc>
          <w:tcPr>
            <w:tcW w:w="2085"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法制化工作宣传</w:t>
            </w:r>
          </w:p>
        </w:tc>
        <w:tc>
          <w:tcPr>
            <w:tcW w:w="1459" w:type="dxa"/>
            <w:vAlign w:val="center"/>
          </w:tcPr>
          <w:p>
            <w:pPr>
              <w:pStyle w:val="14"/>
            </w:pPr>
            <w:r>
              <w:t>100</w:t>
            </w:r>
          </w:p>
        </w:tc>
        <w:tc>
          <w:tcPr>
            <w:tcW w:w="2085"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宣传经费财政拨款专款专用情况</w:t>
            </w:r>
          </w:p>
        </w:tc>
        <w:tc>
          <w:tcPr>
            <w:tcW w:w="1459" w:type="dxa"/>
            <w:vAlign w:val="center"/>
          </w:tcPr>
          <w:p>
            <w:pPr>
              <w:pStyle w:val="14"/>
            </w:pPr>
            <w:r>
              <w:t>100</w:t>
            </w:r>
          </w:p>
        </w:tc>
        <w:tc>
          <w:tcPr>
            <w:tcW w:w="2085"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资金拨付时限</w:t>
            </w:r>
          </w:p>
        </w:tc>
        <w:tc>
          <w:tcPr>
            <w:tcW w:w="5386" w:type="dxa"/>
            <w:vAlign w:val="center"/>
          </w:tcPr>
          <w:p>
            <w:pPr>
              <w:pStyle w:val="14"/>
            </w:pPr>
            <w:r>
              <w:t>及时支付</w:t>
            </w:r>
          </w:p>
        </w:tc>
        <w:tc>
          <w:tcPr>
            <w:tcW w:w="1459" w:type="dxa"/>
            <w:vAlign w:val="center"/>
          </w:tcPr>
          <w:p>
            <w:pPr>
              <w:pStyle w:val="14"/>
            </w:pPr>
            <w:r>
              <w:t>100</w:t>
            </w:r>
          </w:p>
        </w:tc>
        <w:tc>
          <w:tcPr>
            <w:tcW w:w="2085"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5386" w:type="dxa"/>
            <w:vAlign w:val="center"/>
          </w:tcPr>
          <w:p>
            <w:pPr>
              <w:pStyle w:val="14"/>
            </w:pPr>
            <w:r>
              <w:t>预算执行为全部</w:t>
            </w:r>
          </w:p>
        </w:tc>
        <w:tc>
          <w:tcPr>
            <w:tcW w:w="1459" w:type="dxa"/>
            <w:vAlign w:val="center"/>
          </w:tcPr>
          <w:p>
            <w:pPr>
              <w:pStyle w:val="14"/>
            </w:pPr>
            <w:r>
              <w:t>100</w:t>
            </w:r>
          </w:p>
        </w:tc>
        <w:tc>
          <w:tcPr>
            <w:tcW w:w="2085"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推动工作开展</w:t>
            </w:r>
          </w:p>
        </w:tc>
        <w:tc>
          <w:tcPr>
            <w:tcW w:w="5386" w:type="dxa"/>
            <w:vAlign w:val="center"/>
          </w:tcPr>
          <w:p>
            <w:pPr>
              <w:pStyle w:val="14"/>
            </w:pPr>
            <w:r>
              <w:t>法治化工作开展情况</w:t>
            </w:r>
          </w:p>
        </w:tc>
        <w:tc>
          <w:tcPr>
            <w:tcW w:w="1459" w:type="dxa"/>
            <w:vAlign w:val="center"/>
          </w:tcPr>
          <w:p>
            <w:pPr>
              <w:pStyle w:val="14"/>
            </w:pPr>
            <w:r>
              <w:t>≥95</w:t>
            </w:r>
          </w:p>
        </w:tc>
        <w:tc>
          <w:tcPr>
            <w:tcW w:w="2085" w:type="dxa"/>
            <w:vAlign w:val="center"/>
          </w:tcPr>
          <w:p>
            <w:pPr>
              <w:pStyle w:val="14"/>
            </w:pPr>
            <w:r>
              <w:t>根据往年过工作实际情况测定</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2、信访保障经费绩效目标表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13010226P000040100075</w:t>
            </w:r>
          </w:p>
        </w:tc>
        <w:tc>
          <w:tcPr>
            <w:tcW w:w="2835" w:type="dxa"/>
            <w:vAlign w:val="center"/>
          </w:tcPr>
          <w:p>
            <w:pPr>
              <w:pStyle w:val="12"/>
            </w:pPr>
            <w:r>
              <w:t>项目名称</w:t>
            </w:r>
          </w:p>
        </w:tc>
        <w:tc>
          <w:tcPr>
            <w:tcW w:w="6095" w:type="dxa"/>
            <w:gridSpan w:val="3"/>
            <w:vAlign w:val="center"/>
          </w:tcPr>
          <w:p>
            <w:pPr>
              <w:pStyle w:val="14"/>
            </w:pPr>
            <w:r>
              <w:t>信访保障经费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128.00</w:t>
            </w:r>
          </w:p>
        </w:tc>
        <w:tc>
          <w:tcPr>
            <w:tcW w:w="2835" w:type="dxa"/>
            <w:vAlign w:val="center"/>
          </w:tcPr>
          <w:p>
            <w:pPr>
              <w:pStyle w:val="12"/>
            </w:pPr>
            <w:r>
              <w:t>其中：财政    资金</w:t>
            </w:r>
          </w:p>
        </w:tc>
        <w:tc>
          <w:tcPr>
            <w:tcW w:w="2551" w:type="dxa"/>
            <w:vAlign w:val="center"/>
          </w:tcPr>
          <w:p>
            <w:pPr>
              <w:pStyle w:val="14"/>
            </w:pPr>
            <w:r>
              <w:t>128.00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做好信访保障，维护社会稳定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1.根据工作需要，做好信访保障工作，维护社会稳定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化解信访案件数量</w:t>
            </w:r>
          </w:p>
        </w:tc>
        <w:tc>
          <w:tcPr>
            <w:tcW w:w="5386" w:type="dxa"/>
            <w:vAlign w:val="center"/>
          </w:tcPr>
          <w:p>
            <w:pPr>
              <w:pStyle w:val="14"/>
            </w:pPr>
            <w:r>
              <w:t>化解信访案件数量</w:t>
            </w:r>
          </w:p>
        </w:tc>
        <w:tc>
          <w:tcPr>
            <w:tcW w:w="2268" w:type="dxa"/>
            <w:vAlign w:val="center"/>
          </w:tcPr>
          <w:p>
            <w:pPr>
              <w:pStyle w:val="14"/>
            </w:pPr>
            <w:r>
              <w:t>利用信访救助金解决信访案件</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息诉罢访率</w:t>
            </w:r>
          </w:p>
        </w:tc>
        <w:tc>
          <w:tcPr>
            <w:tcW w:w="5386" w:type="dxa"/>
            <w:vAlign w:val="center"/>
          </w:tcPr>
          <w:p>
            <w:pPr>
              <w:pStyle w:val="14"/>
            </w:pPr>
            <w:r>
              <w:t>息诉罢访率</w:t>
            </w:r>
          </w:p>
        </w:tc>
        <w:tc>
          <w:tcPr>
            <w:tcW w:w="2268" w:type="dxa"/>
            <w:vAlign w:val="center"/>
          </w:tcPr>
          <w:p>
            <w:pPr>
              <w:pStyle w:val="14"/>
            </w:pPr>
            <w:r>
              <w:t>≥95息诉罢访率</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信访积案化解及时率</w:t>
            </w:r>
          </w:p>
        </w:tc>
        <w:tc>
          <w:tcPr>
            <w:tcW w:w="5386" w:type="dxa"/>
            <w:vAlign w:val="center"/>
          </w:tcPr>
          <w:p>
            <w:pPr>
              <w:pStyle w:val="14"/>
            </w:pPr>
            <w:r>
              <w:t>资金支付时效</w:t>
            </w:r>
          </w:p>
        </w:tc>
        <w:tc>
          <w:tcPr>
            <w:tcW w:w="2268" w:type="dxa"/>
            <w:vAlign w:val="center"/>
          </w:tcPr>
          <w:p>
            <w:pPr>
              <w:pStyle w:val="14"/>
            </w:pPr>
            <w:r>
              <w:t>资金及时支付</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实际工作支付费用</w:t>
            </w:r>
          </w:p>
        </w:tc>
        <w:tc>
          <w:tcPr>
            <w:tcW w:w="5386" w:type="dxa"/>
            <w:vAlign w:val="center"/>
          </w:tcPr>
          <w:p>
            <w:pPr>
              <w:pStyle w:val="14"/>
            </w:pPr>
            <w:r>
              <w:t>资金成本</w:t>
            </w:r>
          </w:p>
        </w:tc>
        <w:tc>
          <w:tcPr>
            <w:tcW w:w="2268" w:type="dxa"/>
            <w:vAlign w:val="center"/>
          </w:tcPr>
          <w:p>
            <w:pPr>
              <w:pStyle w:val="14"/>
            </w:pPr>
            <w:r>
              <w:t>≤30资金成本</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对群众合理诉求帮扶救助</w:t>
            </w:r>
          </w:p>
        </w:tc>
        <w:tc>
          <w:tcPr>
            <w:tcW w:w="5386" w:type="dxa"/>
            <w:vAlign w:val="center"/>
          </w:tcPr>
          <w:p>
            <w:pPr>
              <w:pStyle w:val="14"/>
            </w:pPr>
            <w:r>
              <w:t>减少回流率</w:t>
            </w:r>
          </w:p>
        </w:tc>
        <w:tc>
          <w:tcPr>
            <w:tcW w:w="2268" w:type="dxa"/>
            <w:vAlign w:val="center"/>
          </w:tcPr>
          <w:p>
            <w:pPr>
              <w:pStyle w:val="14"/>
            </w:pPr>
            <w:r>
              <w:t>逐年下降</w:t>
            </w:r>
          </w:p>
        </w:tc>
        <w:tc>
          <w:tcPr>
            <w:tcW w:w="1276" w:type="dxa"/>
            <w:vAlign w:val="center"/>
          </w:tcPr>
          <w:p>
            <w:pPr>
              <w:pStyle w:val="14"/>
            </w:pPr>
            <w:r>
              <w:t>根据实际工作情况而定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455石家庄市长安区信访局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5.72</w:t>
            </w:r>
          </w:p>
        </w:tc>
        <w:tc>
          <w:tcPr>
            <w:tcW w:w="964" w:type="dxa"/>
            <w:vAlign w:val="center"/>
          </w:tcPr>
          <w:p>
            <w:pPr>
              <w:pStyle w:val="17"/>
            </w:pPr>
            <w:r>
              <w:t>5.72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石家庄市长安区信访局本级小计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5.72</w:t>
            </w:r>
          </w:p>
        </w:tc>
        <w:tc>
          <w:tcPr>
            <w:tcW w:w="964" w:type="dxa"/>
            <w:vAlign w:val="center"/>
          </w:tcPr>
          <w:p>
            <w:pPr>
              <w:pStyle w:val="17"/>
            </w:pPr>
            <w:r>
              <w:t>5.72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30</w:t>
            </w:r>
          </w:p>
        </w:tc>
        <w:tc>
          <w:tcPr>
            <w:tcW w:w="850" w:type="dxa"/>
            <w:vAlign w:val="center"/>
          </w:tcPr>
          <w:p>
            <w:pPr>
              <w:pStyle w:val="13"/>
            </w:pPr>
            <w:r>
              <w:t>0.02</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0.60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0.38</w:t>
            </w:r>
          </w:p>
        </w:tc>
        <w:tc>
          <w:tcPr>
            <w:tcW w:w="964" w:type="dxa"/>
            <w:vAlign w:val="center"/>
          </w:tcPr>
          <w:p>
            <w:pPr>
              <w:pStyle w:val="13"/>
            </w:pPr>
            <w:r>
              <w:t>0.38</w:t>
            </w:r>
          </w:p>
        </w:tc>
        <w:tc>
          <w:tcPr>
            <w:tcW w:w="964" w:type="dxa"/>
            <w:vAlign w:val="center"/>
          </w:tcPr>
          <w:p>
            <w:pPr>
              <w:pStyle w:val="13"/>
            </w:pPr>
            <w:r>
              <w:t>0.38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0.28</w:t>
            </w:r>
          </w:p>
        </w:tc>
        <w:tc>
          <w:tcPr>
            <w:tcW w:w="964" w:type="dxa"/>
            <w:vAlign w:val="center"/>
          </w:tcPr>
          <w:p>
            <w:pPr>
              <w:pStyle w:val="13"/>
            </w:pPr>
            <w:r>
              <w:t>0.83</w:t>
            </w:r>
          </w:p>
        </w:tc>
        <w:tc>
          <w:tcPr>
            <w:tcW w:w="964" w:type="dxa"/>
            <w:vAlign w:val="center"/>
          </w:tcPr>
          <w:p>
            <w:pPr>
              <w:pStyle w:val="13"/>
            </w:pPr>
            <w:r>
              <w:t>0.83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20.63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0.78</w:t>
            </w:r>
          </w:p>
        </w:tc>
        <w:tc>
          <w:tcPr>
            <w:tcW w:w="964" w:type="dxa"/>
            <w:vAlign w:val="center"/>
          </w:tcPr>
          <w:p>
            <w:pPr>
              <w:pStyle w:val="13"/>
            </w:pPr>
            <w:r>
              <w:t>1.55</w:t>
            </w:r>
          </w:p>
        </w:tc>
        <w:tc>
          <w:tcPr>
            <w:tcW w:w="964" w:type="dxa"/>
            <w:vAlign w:val="center"/>
          </w:tcPr>
          <w:p>
            <w:pPr>
              <w:pStyle w:val="13"/>
            </w:pPr>
            <w:r>
              <w:t>1.55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20.63</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0.30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法治化工作经费</w:t>
            </w:r>
          </w:p>
        </w:tc>
        <w:tc>
          <w:tcPr>
            <w:tcW w:w="964" w:type="dxa"/>
            <w:vAlign w:val="center"/>
          </w:tcPr>
          <w:p>
            <w:pPr>
              <w:pStyle w:val="13"/>
            </w:pPr>
            <w:r>
              <w:t>6.00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0.08</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石家庄市长安区信访局（含所属单位）上年末固定资产金额为</w:t>
      </w:r>
      <w:r>
        <w:rPr>
          <w:rFonts w:hint="eastAsia" w:eastAsia="方正仿宋_GBK" w:cs="Times New Roman"/>
          <w:b w:val="0"/>
          <w:color w:val="000000"/>
          <w:sz w:val="28"/>
          <w:lang w:val="en-US" w:eastAsia="zh-CN"/>
        </w:rPr>
        <w:t>74.56</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2.31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455石家庄市长安区信访局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238</w:t>
            </w:r>
          </w:p>
        </w:tc>
        <w:tc>
          <w:tcPr>
            <w:tcW w:w="2835" w:type="dxa"/>
            <w:vAlign w:val="center"/>
          </w:tcPr>
          <w:p>
            <w:pPr>
              <w:pStyle w:val="13"/>
              <w:rPr>
                <w:rFonts w:hint="default" w:eastAsia="方正书宋_GBK"/>
                <w:lang w:val="en-US" w:eastAsia="zh-CN"/>
              </w:rPr>
            </w:pPr>
            <w:r>
              <w:rPr>
                <w:rFonts w:hint="eastAsia"/>
                <w:lang w:val="en-US" w:eastAsia="zh-CN"/>
              </w:rPr>
              <w:t>74.56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1</w:t>
            </w:r>
          </w:p>
        </w:tc>
        <w:tc>
          <w:tcPr>
            <w:tcW w:w="2835" w:type="dxa"/>
            <w:vAlign w:val="center"/>
          </w:tcPr>
          <w:p>
            <w:pPr>
              <w:pStyle w:val="13"/>
              <w:rPr>
                <w:rFonts w:hint="default" w:eastAsia="方正书宋_GBK"/>
                <w:lang w:val="en-US" w:eastAsia="zh-CN"/>
              </w:rPr>
            </w:pPr>
            <w:r>
              <w:rPr>
                <w:rFonts w:hint="eastAsia"/>
                <w:lang w:val="en-US" w:eastAsia="zh-CN"/>
              </w:rPr>
              <w:t>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237</w:t>
            </w:r>
          </w:p>
        </w:tc>
        <w:tc>
          <w:tcPr>
            <w:tcW w:w="2835" w:type="dxa"/>
            <w:vAlign w:val="center"/>
          </w:tcPr>
          <w:p>
            <w:pPr>
              <w:pStyle w:val="13"/>
              <w:rPr>
                <w:rFonts w:hint="default" w:eastAsia="方正书宋_GBK"/>
                <w:lang w:val="en-US" w:eastAsia="zh-CN"/>
              </w:rPr>
            </w:pPr>
            <w:r>
              <w:rPr>
                <w:rFonts w:hint="eastAsia"/>
                <w:lang w:val="en-US" w:eastAsia="zh-CN"/>
              </w:rPr>
              <w:t>61.8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一、石家庄市长安区信访局本级收支预算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544.79</w:t>
            </w:r>
          </w:p>
        </w:tc>
        <w:tc>
          <w:tcPr>
            <w:tcW w:w="4535" w:type="dxa"/>
            <w:vAlign w:val="center"/>
          </w:tcPr>
          <w:p>
            <w:pPr>
              <w:pStyle w:val="14"/>
            </w:pPr>
            <w:r>
              <w:t>一、一般公共服务支出</w:t>
            </w:r>
          </w:p>
        </w:tc>
        <w:tc>
          <w:tcPr>
            <w:tcW w:w="2126" w:type="dxa"/>
            <w:vAlign w:val="center"/>
          </w:tcPr>
          <w:p>
            <w:pPr>
              <w:pStyle w:val="13"/>
            </w:pPr>
            <w:r>
              <w:t>468.49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29.37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544.79</w:t>
            </w:r>
          </w:p>
        </w:tc>
        <w:tc>
          <w:tcPr>
            <w:tcW w:w="4535" w:type="dxa"/>
            <w:vAlign w:val="center"/>
          </w:tcPr>
          <w:p>
            <w:pPr>
              <w:pStyle w:val="16"/>
            </w:pPr>
            <w:r>
              <w:t>本年支出合计</w:t>
            </w:r>
          </w:p>
        </w:tc>
        <w:tc>
          <w:tcPr>
            <w:tcW w:w="2126" w:type="dxa"/>
            <w:vAlign w:val="center"/>
          </w:tcPr>
          <w:p>
            <w:pPr>
              <w:pStyle w:val="17"/>
            </w:pPr>
            <w:r>
              <w:t>544.79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544.79</w:t>
            </w:r>
          </w:p>
        </w:tc>
        <w:tc>
          <w:tcPr>
            <w:tcW w:w="4535" w:type="dxa"/>
            <w:vAlign w:val="center"/>
          </w:tcPr>
          <w:p>
            <w:pPr>
              <w:pStyle w:val="16"/>
            </w:pPr>
            <w:r>
              <w:t>支出总计</w:t>
            </w:r>
          </w:p>
        </w:tc>
        <w:tc>
          <w:tcPr>
            <w:tcW w:w="2126" w:type="dxa"/>
            <w:vAlign w:val="center"/>
          </w:tcPr>
          <w:p>
            <w:pPr>
              <w:pStyle w:val="17"/>
            </w:pPr>
            <w:r>
              <w:t>544.79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7"/>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544.79</w:t>
            </w:r>
          </w:p>
        </w:tc>
        <w:tc>
          <w:tcPr>
            <w:tcW w:w="1134" w:type="dxa"/>
            <w:vAlign w:val="center"/>
          </w:tcPr>
          <w:p>
            <w:pPr>
              <w:pStyle w:val="17"/>
            </w:pPr>
            <w:r>
              <w:t>544.79</w:t>
            </w:r>
          </w:p>
        </w:tc>
        <w:tc>
          <w:tcPr>
            <w:tcW w:w="1134" w:type="dxa"/>
            <w:vAlign w:val="center"/>
          </w:tcPr>
          <w:p>
            <w:pPr>
              <w:pStyle w:val="17"/>
            </w:pPr>
            <w:r>
              <w:t>544.79</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r>
              <w:t>468.49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2014001</w:t>
            </w:r>
          </w:p>
        </w:tc>
        <w:tc>
          <w:tcPr>
            <w:tcW w:w="1559" w:type="dxa"/>
            <w:vAlign w:val="center"/>
          </w:tcPr>
          <w:p>
            <w:pPr>
              <w:pStyle w:val="14"/>
            </w:pPr>
            <w:r>
              <w:t>行政运行</w:t>
            </w:r>
          </w:p>
        </w:tc>
        <w:tc>
          <w:tcPr>
            <w:tcW w:w="1134" w:type="dxa"/>
            <w:vAlign w:val="center"/>
          </w:tcPr>
          <w:p>
            <w:pPr>
              <w:pStyle w:val="13"/>
            </w:pPr>
            <w:r>
              <w:t>334.49</w:t>
            </w:r>
          </w:p>
        </w:tc>
        <w:tc>
          <w:tcPr>
            <w:tcW w:w="1134" w:type="dxa"/>
            <w:vAlign w:val="center"/>
          </w:tcPr>
          <w:p>
            <w:pPr>
              <w:pStyle w:val="13"/>
            </w:pPr>
            <w:r>
              <w:t>334.49</w:t>
            </w:r>
          </w:p>
        </w:tc>
        <w:tc>
          <w:tcPr>
            <w:tcW w:w="1134" w:type="dxa"/>
            <w:vAlign w:val="center"/>
          </w:tcPr>
          <w:p>
            <w:pPr>
              <w:pStyle w:val="13"/>
            </w:pPr>
            <w:r>
              <w:t>334.49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134.00</w:t>
            </w:r>
          </w:p>
        </w:tc>
        <w:tc>
          <w:tcPr>
            <w:tcW w:w="1134" w:type="dxa"/>
            <w:vAlign w:val="center"/>
          </w:tcPr>
          <w:p>
            <w:pPr>
              <w:pStyle w:val="13"/>
            </w:pPr>
            <w:r>
              <w:t>134.00</w:t>
            </w:r>
          </w:p>
        </w:tc>
        <w:tc>
          <w:tcPr>
            <w:tcW w:w="1134" w:type="dxa"/>
            <w:vAlign w:val="center"/>
          </w:tcPr>
          <w:p>
            <w:pPr>
              <w:pStyle w:val="13"/>
            </w:pPr>
            <w:r>
              <w:t>134.00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r>
              <w:t>31.30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r>
              <w:t>15.63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12.91</w:t>
            </w:r>
          </w:p>
        </w:tc>
        <w:tc>
          <w:tcPr>
            <w:tcW w:w="1134" w:type="dxa"/>
            <w:vAlign w:val="center"/>
          </w:tcPr>
          <w:p>
            <w:pPr>
              <w:pStyle w:val="13"/>
            </w:pPr>
            <w:r>
              <w:t>12.91</w:t>
            </w:r>
          </w:p>
        </w:tc>
        <w:tc>
          <w:tcPr>
            <w:tcW w:w="1134" w:type="dxa"/>
            <w:vAlign w:val="center"/>
          </w:tcPr>
          <w:p>
            <w:pPr>
              <w:pStyle w:val="13"/>
            </w:pPr>
            <w:r>
              <w:t>12.91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2.72</w:t>
            </w:r>
          </w:p>
        </w:tc>
        <w:tc>
          <w:tcPr>
            <w:tcW w:w="1134" w:type="dxa"/>
            <w:vAlign w:val="center"/>
          </w:tcPr>
          <w:p>
            <w:pPr>
              <w:pStyle w:val="13"/>
            </w:pPr>
            <w:r>
              <w:t>2.72</w:t>
            </w:r>
          </w:p>
        </w:tc>
        <w:tc>
          <w:tcPr>
            <w:tcW w:w="1134" w:type="dxa"/>
            <w:vAlign w:val="center"/>
          </w:tcPr>
          <w:p>
            <w:pPr>
              <w:pStyle w:val="13"/>
            </w:pPr>
            <w:r>
              <w:t>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r>
              <w:t>29.37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7"/>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544.79</w:t>
            </w:r>
          </w:p>
        </w:tc>
        <w:tc>
          <w:tcPr>
            <w:tcW w:w="1361" w:type="dxa"/>
            <w:vAlign w:val="center"/>
          </w:tcPr>
          <w:p>
            <w:pPr>
              <w:pStyle w:val="17"/>
            </w:pPr>
            <w:r>
              <w:t>410.79</w:t>
            </w:r>
          </w:p>
        </w:tc>
        <w:tc>
          <w:tcPr>
            <w:tcW w:w="1361" w:type="dxa"/>
            <w:vAlign w:val="center"/>
          </w:tcPr>
          <w:p>
            <w:pPr>
              <w:pStyle w:val="17"/>
            </w:pPr>
            <w:r>
              <w:t>134.00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468.49</w:t>
            </w:r>
          </w:p>
        </w:tc>
        <w:tc>
          <w:tcPr>
            <w:tcW w:w="1361" w:type="dxa"/>
            <w:vAlign w:val="center"/>
          </w:tcPr>
          <w:p>
            <w:pPr>
              <w:pStyle w:val="13"/>
            </w:pPr>
            <w:r>
              <w:t>334.49</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468.49</w:t>
            </w:r>
          </w:p>
        </w:tc>
        <w:tc>
          <w:tcPr>
            <w:tcW w:w="1361" w:type="dxa"/>
            <w:vAlign w:val="center"/>
          </w:tcPr>
          <w:p>
            <w:pPr>
              <w:pStyle w:val="13"/>
            </w:pPr>
            <w:r>
              <w:t>334.49</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2014001</w:t>
            </w:r>
          </w:p>
        </w:tc>
        <w:tc>
          <w:tcPr>
            <w:tcW w:w="4535" w:type="dxa"/>
            <w:vAlign w:val="center"/>
          </w:tcPr>
          <w:p>
            <w:pPr>
              <w:pStyle w:val="14"/>
            </w:pPr>
            <w:r>
              <w:t>行政运行</w:t>
            </w:r>
          </w:p>
        </w:tc>
        <w:tc>
          <w:tcPr>
            <w:tcW w:w="1361" w:type="dxa"/>
            <w:vAlign w:val="center"/>
          </w:tcPr>
          <w:p>
            <w:pPr>
              <w:pStyle w:val="13"/>
            </w:pPr>
            <w:r>
              <w:t>334.49</w:t>
            </w:r>
          </w:p>
        </w:tc>
        <w:tc>
          <w:tcPr>
            <w:tcW w:w="1361" w:type="dxa"/>
            <w:vAlign w:val="center"/>
          </w:tcPr>
          <w:p>
            <w:pPr>
              <w:pStyle w:val="13"/>
            </w:pPr>
            <w:r>
              <w:t>334.49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r>
              <w:t>134.00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31.30</w:t>
            </w:r>
          </w:p>
        </w:tc>
        <w:tc>
          <w:tcPr>
            <w:tcW w:w="1361" w:type="dxa"/>
            <w:vAlign w:val="center"/>
          </w:tcPr>
          <w:p>
            <w:pPr>
              <w:pStyle w:val="13"/>
            </w:pPr>
            <w:r>
              <w:t>31.30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15.63</w:t>
            </w:r>
          </w:p>
        </w:tc>
        <w:tc>
          <w:tcPr>
            <w:tcW w:w="1361" w:type="dxa"/>
            <w:vAlign w:val="center"/>
          </w:tcPr>
          <w:p>
            <w:pPr>
              <w:pStyle w:val="13"/>
            </w:pPr>
            <w:r>
              <w:t>15.63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15.63</w:t>
            </w:r>
          </w:p>
        </w:tc>
        <w:tc>
          <w:tcPr>
            <w:tcW w:w="1361" w:type="dxa"/>
            <w:vAlign w:val="center"/>
          </w:tcPr>
          <w:p>
            <w:pPr>
              <w:pStyle w:val="13"/>
            </w:pPr>
            <w:r>
              <w:t>15.63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12.91</w:t>
            </w:r>
          </w:p>
        </w:tc>
        <w:tc>
          <w:tcPr>
            <w:tcW w:w="1361" w:type="dxa"/>
            <w:vAlign w:val="center"/>
          </w:tcPr>
          <w:p>
            <w:pPr>
              <w:pStyle w:val="13"/>
            </w:pPr>
            <w:r>
              <w:t>12.91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2.72</w:t>
            </w:r>
          </w:p>
        </w:tc>
        <w:tc>
          <w:tcPr>
            <w:tcW w:w="1361" w:type="dxa"/>
            <w:vAlign w:val="center"/>
          </w:tcPr>
          <w:p>
            <w:pPr>
              <w:pStyle w:val="13"/>
            </w:pPr>
            <w:r>
              <w:t>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29.37</w:t>
            </w:r>
          </w:p>
        </w:tc>
        <w:tc>
          <w:tcPr>
            <w:tcW w:w="1361" w:type="dxa"/>
            <w:vAlign w:val="center"/>
          </w:tcPr>
          <w:p>
            <w:pPr>
              <w:pStyle w:val="13"/>
            </w:pPr>
            <w:r>
              <w:t>29.37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7"/>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544.79</w:t>
            </w:r>
          </w:p>
        </w:tc>
        <w:tc>
          <w:tcPr>
            <w:tcW w:w="3402" w:type="dxa"/>
            <w:vAlign w:val="center"/>
          </w:tcPr>
          <w:p>
            <w:pPr>
              <w:pStyle w:val="14"/>
            </w:pPr>
            <w:r>
              <w:t>一、一般公共服务支出</w:t>
            </w:r>
          </w:p>
        </w:tc>
        <w:tc>
          <w:tcPr>
            <w:tcW w:w="1474" w:type="dxa"/>
            <w:vAlign w:val="center"/>
          </w:tcPr>
          <w:p>
            <w:pPr>
              <w:pStyle w:val="13"/>
            </w:pPr>
            <w:r>
              <w:t>468.49</w:t>
            </w:r>
          </w:p>
        </w:tc>
        <w:tc>
          <w:tcPr>
            <w:tcW w:w="1474" w:type="dxa"/>
            <w:vAlign w:val="center"/>
          </w:tcPr>
          <w:p>
            <w:pPr>
              <w:pStyle w:val="13"/>
            </w:pPr>
            <w:r>
              <w:t>468.49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31.30</w:t>
            </w:r>
          </w:p>
        </w:tc>
        <w:tc>
          <w:tcPr>
            <w:tcW w:w="1474" w:type="dxa"/>
            <w:vAlign w:val="center"/>
          </w:tcPr>
          <w:p>
            <w:pPr>
              <w:pStyle w:val="13"/>
            </w:pPr>
            <w:r>
              <w:t>31.30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15.63</w:t>
            </w:r>
          </w:p>
        </w:tc>
        <w:tc>
          <w:tcPr>
            <w:tcW w:w="1474" w:type="dxa"/>
            <w:vAlign w:val="center"/>
          </w:tcPr>
          <w:p>
            <w:pPr>
              <w:pStyle w:val="13"/>
            </w:pPr>
            <w:r>
              <w:t>15.63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29.37</w:t>
            </w:r>
          </w:p>
        </w:tc>
        <w:tc>
          <w:tcPr>
            <w:tcW w:w="1474" w:type="dxa"/>
            <w:vAlign w:val="center"/>
          </w:tcPr>
          <w:p>
            <w:pPr>
              <w:pStyle w:val="13"/>
            </w:pPr>
            <w:r>
              <w:t>29.37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544.79</w:t>
            </w:r>
          </w:p>
        </w:tc>
        <w:tc>
          <w:tcPr>
            <w:tcW w:w="3402" w:type="dxa"/>
            <w:vAlign w:val="center"/>
          </w:tcPr>
          <w:p>
            <w:pPr>
              <w:pStyle w:val="16"/>
            </w:pPr>
            <w:r>
              <w:t>本年支出合计</w:t>
            </w:r>
          </w:p>
        </w:tc>
        <w:tc>
          <w:tcPr>
            <w:tcW w:w="1474" w:type="dxa"/>
            <w:vAlign w:val="center"/>
          </w:tcPr>
          <w:p>
            <w:pPr>
              <w:pStyle w:val="17"/>
            </w:pPr>
            <w:r>
              <w:t>544.79</w:t>
            </w:r>
          </w:p>
        </w:tc>
        <w:tc>
          <w:tcPr>
            <w:tcW w:w="1474" w:type="dxa"/>
            <w:vAlign w:val="center"/>
          </w:tcPr>
          <w:p>
            <w:pPr>
              <w:pStyle w:val="17"/>
            </w:pPr>
            <w:r>
              <w:t>544.79</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544.79</w:t>
            </w:r>
          </w:p>
        </w:tc>
        <w:tc>
          <w:tcPr>
            <w:tcW w:w="3402" w:type="dxa"/>
            <w:vAlign w:val="center"/>
          </w:tcPr>
          <w:p>
            <w:pPr>
              <w:pStyle w:val="16"/>
            </w:pPr>
            <w:r>
              <w:t>支出总计</w:t>
            </w:r>
          </w:p>
        </w:tc>
        <w:tc>
          <w:tcPr>
            <w:tcW w:w="1474" w:type="dxa"/>
            <w:vAlign w:val="center"/>
          </w:tcPr>
          <w:p>
            <w:pPr>
              <w:pStyle w:val="17"/>
            </w:pPr>
            <w:r>
              <w:t>544.79</w:t>
            </w:r>
          </w:p>
        </w:tc>
        <w:tc>
          <w:tcPr>
            <w:tcW w:w="1474" w:type="dxa"/>
            <w:vAlign w:val="center"/>
          </w:tcPr>
          <w:p>
            <w:pPr>
              <w:pStyle w:val="17"/>
            </w:pPr>
            <w:r>
              <w:t>544.79</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544.79</w:t>
            </w:r>
          </w:p>
        </w:tc>
        <w:tc>
          <w:tcPr>
            <w:tcW w:w="2551" w:type="dxa"/>
            <w:vAlign w:val="center"/>
          </w:tcPr>
          <w:p>
            <w:pPr>
              <w:pStyle w:val="17"/>
            </w:pPr>
            <w:r>
              <w:t>410.79</w:t>
            </w:r>
          </w:p>
        </w:tc>
        <w:tc>
          <w:tcPr>
            <w:tcW w:w="2551" w:type="dxa"/>
            <w:vAlign w:val="center"/>
          </w:tcPr>
          <w:p>
            <w:pPr>
              <w:pStyle w:val="17"/>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468.49</w:t>
            </w:r>
          </w:p>
        </w:tc>
        <w:tc>
          <w:tcPr>
            <w:tcW w:w="2551" w:type="dxa"/>
            <w:vAlign w:val="center"/>
          </w:tcPr>
          <w:p>
            <w:pPr>
              <w:pStyle w:val="13"/>
            </w:pPr>
            <w:r>
              <w:t>334.49</w:t>
            </w: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468.49</w:t>
            </w:r>
          </w:p>
        </w:tc>
        <w:tc>
          <w:tcPr>
            <w:tcW w:w="2551" w:type="dxa"/>
            <w:vAlign w:val="center"/>
          </w:tcPr>
          <w:p>
            <w:pPr>
              <w:pStyle w:val="13"/>
            </w:pPr>
            <w:r>
              <w:t>334.49</w:t>
            </w: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2014001</w:t>
            </w:r>
          </w:p>
        </w:tc>
        <w:tc>
          <w:tcPr>
            <w:tcW w:w="4535" w:type="dxa"/>
            <w:vAlign w:val="center"/>
          </w:tcPr>
          <w:p>
            <w:pPr>
              <w:pStyle w:val="14"/>
            </w:pPr>
            <w:r>
              <w:t>行政运行</w:t>
            </w:r>
          </w:p>
        </w:tc>
        <w:tc>
          <w:tcPr>
            <w:tcW w:w="2551" w:type="dxa"/>
            <w:vAlign w:val="center"/>
          </w:tcPr>
          <w:p>
            <w:pPr>
              <w:pStyle w:val="13"/>
            </w:pPr>
            <w:r>
              <w:t>334.49</w:t>
            </w:r>
          </w:p>
        </w:tc>
        <w:tc>
          <w:tcPr>
            <w:tcW w:w="2551" w:type="dxa"/>
            <w:vAlign w:val="center"/>
          </w:tcPr>
          <w:p>
            <w:pPr>
              <w:pStyle w:val="13"/>
            </w:pPr>
            <w:r>
              <w:t>334.49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134.00</w:t>
            </w:r>
          </w:p>
        </w:tc>
        <w:tc>
          <w:tcPr>
            <w:tcW w:w="2551" w:type="dxa"/>
            <w:vAlign w:val="center"/>
          </w:tcPr>
          <w:p>
            <w:pPr>
              <w:pStyle w:val="13"/>
            </w:pPr>
          </w:p>
        </w:tc>
        <w:tc>
          <w:tcPr>
            <w:tcW w:w="2551" w:type="dxa"/>
            <w:vAlign w:val="center"/>
          </w:tcPr>
          <w:p>
            <w:pPr>
              <w:pStyle w:val="13"/>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15.63</w:t>
            </w:r>
          </w:p>
        </w:tc>
        <w:tc>
          <w:tcPr>
            <w:tcW w:w="2551" w:type="dxa"/>
            <w:vAlign w:val="center"/>
          </w:tcPr>
          <w:p>
            <w:pPr>
              <w:pStyle w:val="13"/>
            </w:pPr>
            <w:r>
              <w:t>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15.63</w:t>
            </w:r>
          </w:p>
        </w:tc>
        <w:tc>
          <w:tcPr>
            <w:tcW w:w="2551" w:type="dxa"/>
            <w:vAlign w:val="center"/>
          </w:tcPr>
          <w:p>
            <w:pPr>
              <w:pStyle w:val="13"/>
            </w:pPr>
            <w:r>
              <w:t>15.63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2.72</w:t>
            </w:r>
          </w:p>
        </w:tc>
        <w:tc>
          <w:tcPr>
            <w:tcW w:w="2551" w:type="dxa"/>
            <w:vAlign w:val="center"/>
          </w:tcPr>
          <w:p>
            <w:pPr>
              <w:pStyle w:val="13"/>
            </w:pPr>
            <w:r>
              <w:t>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410.79</w:t>
            </w:r>
          </w:p>
        </w:tc>
        <w:tc>
          <w:tcPr>
            <w:tcW w:w="2551" w:type="dxa"/>
            <w:vAlign w:val="center"/>
          </w:tcPr>
          <w:p>
            <w:pPr>
              <w:pStyle w:val="17"/>
            </w:pPr>
            <w:r>
              <w:t>382.96</w:t>
            </w:r>
          </w:p>
        </w:tc>
        <w:tc>
          <w:tcPr>
            <w:tcW w:w="2551" w:type="dxa"/>
            <w:vAlign w:val="center"/>
          </w:tcPr>
          <w:p>
            <w:pPr>
              <w:pStyle w:val="17"/>
            </w:pPr>
            <w:r>
              <w:t>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360.46</w:t>
            </w:r>
          </w:p>
        </w:tc>
        <w:tc>
          <w:tcPr>
            <w:tcW w:w="2551" w:type="dxa"/>
            <w:vAlign w:val="center"/>
          </w:tcPr>
          <w:p>
            <w:pPr>
              <w:pStyle w:val="13"/>
            </w:pPr>
            <w:r>
              <w:t>360.46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93.92</w:t>
            </w:r>
          </w:p>
        </w:tc>
        <w:tc>
          <w:tcPr>
            <w:tcW w:w="2551" w:type="dxa"/>
            <w:vAlign w:val="center"/>
          </w:tcPr>
          <w:p>
            <w:pPr>
              <w:pStyle w:val="13"/>
            </w:pPr>
            <w:r>
              <w:t>93.92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60.32</w:t>
            </w:r>
          </w:p>
        </w:tc>
        <w:tc>
          <w:tcPr>
            <w:tcW w:w="2551" w:type="dxa"/>
            <w:vAlign w:val="center"/>
          </w:tcPr>
          <w:p>
            <w:pPr>
              <w:pStyle w:val="13"/>
            </w:pPr>
            <w:r>
              <w:t>60.32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41.06</w:t>
            </w:r>
          </w:p>
        </w:tc>
        <w:tc>
          <w:tcPr>
            <w:tcW w:w="2551" w:type="dxa"/>
            <w:vAlign w:val="center"/>
          </w:tcPr>
          <w:p>
            <w:pPr>
              <w:pStyle w:val="13"/>
            </w:pPr>
            <w:r>
              <w:t>41.06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70.42</w:t>
            </w:r>
          </w:p>
        </w:tc>
        <w:tc>
          <w:tcPr>
            <w:tcW w:w="2551" w:type="dxa"/>
            <w:vAlign w:val="center"/>
          </w:tcPr>
          <w:p>
            <w:pPr>
              <w:pStyle w:val="13"/>
            </w:pPr>
            <w:r>
              <w:t>70.42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31.30</w:t>
            </w:r>
          </w:p>
        </w:tc>
        <w:tc>
          <w:tcPr>
            <w:tcW w:w="2551" w:type="dxa"/>
            <w:vAlign w:val="center"/>
          </w:tcPr>
          <w:p>
            <w:pPr>
              <w:pStyle w:val="13"/>
            </w:pPr>
            <w:r>
              <w:t>31.30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12.91</w:t>
            </w:r>
          </w:p>
        </w:tc>
        <w:tc>
          <w:tcPr>
            <w:tcW w:w="2551" w:type="dxa"/>
            <w:vAlign w:val="center"/>
          </w:tcPr>
          <w:p>
            <w:pPr>
              <w:pStyle w:val="13"/>
            </w:pPr>
            <w:r>
              <w:t>12.91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2.72</w:t>
            </w:r>
          </w:p>
        </w:tc>
        <w:tc>
          <w:tcPr>
            <w:tcW w:w="2551" w:type="dxa"/>
            <w:vAlign w:val="center"/>
          </w:tcPr>
          <w:p>
            <w:pPr>
              <w:pStyle w:val="13"/>
            </w:pPr>
            <w:r>
              <w:t>2.72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1.24</w:t>
            </w:r>
          </w:p>
        </w:tc>
        <w:tc>
          <w:tcPr>
            <w:tcW w:w="2551" w:type="dxa"/>
            <w:vAlign w:val="center"/>
          </w:tcPr>
          <w:p>
            <w:pPr>
              <w:pStyle w:val="13"/>
            </w:pPr>
            <w:r>
              <w:t>1.24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29.37</w:t>
            </w:r>
          </w:p>
        </w:tc>
        <w:tc>
          <w:tcPr>
            <w:tcW w:w="2551" w:type="dxa"/>
            <w:vAlign w:val="center"/>
          </w:tcPr>
          <w:p>
            <w:pPr>
              <w:pStyle w:val="13"/>
            </w:pPr>
            <w:r>
              <w:t>29.37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17.20</w:t>
            </w:r>
          </w:p>
        </w:tc>
        <w:tc>
          <w:tcPr>
            <w:tcW w:w="2551" w:type="dxa"/>
            <w:vAlign w:val="center"/>
          </w:tcPr>
          <w:p>
            <w:pPr>
              <w:pStyle w:val="13"/>
            </w:pPr>
            <w:r>
              <w:t>17.20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27.83</w:t>
            </w:r>
          </w:p>
        </w:tc>
        <w:tc>
          <w:tcPr>
            <w:tcW w:w="2551" w:type="dxa"/>
            <w:vAlign w:val="center"/>
          </w:tcPr>
          <w:p>
            <w:pPr>
              <w:pStyle w:val="13"/>
            </w:pPr>
          </w:p>
        </w:tc>
        <w:tc>
          <w:tcPr>
            <w:tcW w:w="2551" w:type="dxa"/>
            <w:vAlign w:val="center"/>
          </w:tcPr>
          <w:p>
            <w:pPr>
              <w:pStyle w:val="13"/>
            </w:pPr>
            <w:r>
              <w:t>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4.05</w:t>
            </w:r>
          </w:p>
        </w:tc>
        <w:tc>
          <w:tcPr>
            <w:tcW w:w="2551" w:type="dxa"/>
            <w:vAlign w:val="center"/>
          </w:tcPr>
          <w:p>
            <w:pPr>
              <w:pStyle w:val="13"/>
            </w:pPr>
          </w:p>
        </w:tc>
        <w:tc>
          <w:tcPr>
            <w:tcW w:w="2551" w:type="dxa"/>
            <w:vAlign w:val="center"/>
          </w:tcPr>
          <w:p>
            <w:pPr>
              <w:pStyle w:val="13"/>
            </w:pPr>
            <w:r>
              <w:t>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5.37</w:t>
            </w:r>
          </w:p>
        </w:tc>
        <w:tc>
          <w:tcPr>
            <w:tcW w:w="2551" w:type="dxa"/>
            <w:vAlign w:val="center"/>
          </w:tcPr>
          <w:p>
            <w:pPr>
              <w:pStyle w:val="13"/>
            </w:pPr>
          </w:p>
        </w:tc>
        <w:tc>
          <w:tcPr>
            <w:tcW w:w="2551" w:type="dxa"/>
            <w:vAlign w:val="center"/>
          </w:tcPr>
          <w:p>
            <w:pPr>
              <w:pStyle w:val="13"/>
            </w:pPr>
            <w:r>
              <w:t>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0.57</w:t>
            </w:r>
          </w:p>
        </w:tc>
        <w:tc>
          <w:tcPr>
            <w:tcW w:w="2551" w:type="dxa"/>
            <w:vAlign w:val="center"/>
          </w:tcPr>
          <w:p>
            <w:pPr>
              <w:pStyle w:val="13"/>
            </w:pPr>
          </w:p>
        </w:tc>
        <w:tc>
          <w:tcPr>
            <w:tcW w:w="2551" w:type="dxa"/>
            <w:vAlign w:val="center"/>
          </w:tcPr>
          <w:p>
            <w:pPr>
              <w:pStyle w:val="13"/>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0.19</w:t>
            </w:r>
          </w:p>
        </w:tc>
        <w:tc>
          <w:tcPr>
            <w:tcW w:w="2551" w:type="dxa"/>
            <w:vAlign w:val="center"/>
          </w:tcPr>
          <w:p>
            <w:pPr>
              <w:pStyle w:val="13"/>
            </w:pPr>
          </w:p>
        </w:tc>
        <w:tc>
          <w:tcPr>
            <w:tcW w:w="2551" w:type="dxa"/>
            <w:vAlign w:val="center"/>
          </w:tcPr>
          <w:p>
            <w:pPr>
              <w:pStyle w:val="13"/>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0.49</w:t>
            </w:r>
          </w:p>
        </w:tc>
        <w:tc>
          <w:tcPr>
            <w:tcW w:w="2551" w:type="dxa"/>
            <w:vAlign w:val="center"/>
          </w:tcPr>
          <w:p>
            <w:pPr>
              <w:pStyle w:val="13"/>
            </w:pPr>
          </w:p>
        </w:tc>
        <w:tc>
          <w:tcPr>
            <w:tcW w:w="2551"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2.96</w:t>
            </w:r>
          </w:p>
        </w:tc>
        <w:tc>
          <w:tcPr>
            <w:tcW w:w="2551" w:type="dxa"/>
            <w:vAlign w:val="center"/>
          </w:tcPr>
          <w:p>
            <w:pPr>
              <w:pStyle w:val="13"/>
            </w:pPr>
          </w:p>
        </w:tc>
        <w:tc>
          <w:tcPr>
            <w:tcW w:w="2551" w:type="dxa"/>
            <w:vAlign w:val="center"/>
          </w:tcPr>
          <w:p>
            <w:pPr>
              <w:pStyle w:val="13"/>
            </w:pPr>
            <w:r>
              <w:t>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7.08</w:t>
            </w:r>
          </w:p>
        </w:tc>
        <w:tc>
          <w:tcPr>
            <w:tcW w:w="2551" w:type="dxa"/>
            <w:vAlign w:val="center"/>
          </w:tcPr>
          <w:p>
            <w:pPr>
              <w:pStyle w:val="13"/>
            </w:pPr>
          </w:p>
        </w:tc>
        <w:tc>
          <w:tcPr>
            <w:tcW w:w="2551"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4.13</w:t>
            </w:r>
          </w:p>
        </w:tc>
        <w:tc>
          <w:tcPr>
            <w:tcW w:w="2551" w:type="dxa"/>
            <w:vAlign w:val="center"/>
          </w:tcPr>
          <w:p>
            <w:pPr>
              <w:pStyle w:val="13"/>
            </w:pPr>
          </w:p>
        </w:tc>
        <w:tc>
          <w:tcPr>
            <w:tcW w:w="2551" w:type="dxa"/>
            <w:vAlign w:val="center"/>
          </w:tcPr>
          <w:p>
            <w:pPr>
              <w:pStyle w:val="13"/>
            </w:pPr>
            <w:r>
              <w:t>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22.50</w:t>
            </w:r>
          </w:p>
        </w:tc>
        <w:tc>
          <w:tcPr>
            <w:tcW w:w="2551" w:type="dxa"/>
            <w:vAlign w:val="center"/>
          </w:tcPr>
          <w:p>
            <w:pPr>
              <w:pStyle w:val="13"/>
            </w:pPr>
            <w:r>
              <w:t>22.50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22.50</w:t>
            </w:r>
          </w:p>
        </w:tc>
        <w:tc>
          <w:tcPr>
            <w:tcW w:w="2551" w:type="dxa"/>
            <w:vAlign w:val="center"/>
          </w:tcPr>
          <w:p>
            <w:pPr>
              <w:pStyle w:val="13"/>
            </w:pPr>
            <w:r>
              <w:t>22.50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7"/>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7"/>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石家庄市长安区信访局本级2026年单位预算信息公开情况说明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按照《中华人民共和国预算法》、《地方预决算公开操作规程》和《关于进一步推进预算公开工作的实施意见》规定，现将石家庄市长安区信访局本级2026年单位预算公开如下：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7"/>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石家庄市长安区信访局本级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544.79万元，其中：一般公共预算收入544.79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长安区信访局本级年度单位预算中支出预算的总体情况。2026年支出预算544.79万元，其中基本支出410.79万元，包括人员经费382.96万元和日常公用经费27.83万元；项目支出134.00万元，主要为信访保障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544.79万元，较2025年预算增加109.90万元，其中：基本支出增加24.86万元，主要为新进人员工资及保险等费用项目支出增加85.04万元，主要为信访保障压力大，信访保障经费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2026年，我单位机关运行经费共计安排27.83万元，主要用于日常维修、办公用房水电费、办公用房取暖费、办公用房物业管理费等日常运行支出。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2.43万元，其中因公出国（境）费0.00万元；公务用车购置及运维费2.43万元（其中：公务用车购置费为0.00万元，公务用车运维费2.43万元)；公务接待费0.00万元。与2025年相比减少0.08万元，增减变化的主要原因是节约开支，减少不必要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1、法治化工作经费绩效目标表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13010226P00004010008Q</w:t>
            </w:r>
          </w:p>
        </w:tc>
        <w:tc>
          <w:tcPr>
            <w:tcW w:w="2835" w:type="dxa"/>
            <w:vAlign w:val="center"/>
          </w:tcPr>
          <w:p>
            <w:pPr>
              <w:pStyle w:val="12"/>
            </w:pPr>
            <w:r>
              <w:t>项目名称</w:t>
            </w:r>
          </w:p>
        </w:tc>
        <w:tc>
          <w:tcPr>
            <w:tcW w:w="6095" w:type="dxa"/>
            <w:gridSpan w:val="3"/>
            <w:vAlign w:val="center"/>
          </w:tcPr>
          <w:p>
            <w:pPr>
              <w:pStyle w:val="14"/>
            </w:pPr>
            <w:r>
              <w:t>法治化工作经费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6.00</w:t>
            </w:r>
          </w:p>
        </w:tc>
        <w:tc>
          <w:tcPr>
            <w:tcW w:w="2835" w:type="dxa"/>
            <w:vAlign w:val="center"/>
          </w:tcPr>
          <w:p>
            <w:pPr>
              <w:pStyle w:val="12"/>
            </w:pPr>
            <w:r>
              <w:t>其中：财政    资金</w:t>
            </w:r>
          </w:p>
        </w:tc>
        <w:tc>
          <w:tcPr>
            <w:tcW w:w="2551" w:type="dxa"/>
            <w:vAlign w:val="center"/>
          </w:tcPr>
          <w:p>
            <w:pPr>
              <w:pStyle w:val="14"/>
            </w:pPr>
            <w:r>
              <w:t>6.00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做好法治化工作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1.做好法治化宣传工作，保障工作需要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法制化工作宣传</w:t>
            </w:r>
          </w:p>
        </w:tc>
        <w:tc>
          <w:tcPr>
            <w:tcW w:w="2268" w:type="dxa"/>
            <w:vAlign w:val="center"/>
          </w:tcPr>
          <w:p>
            <w:pPr>
              <w:pStyle w:val="14"/>
            </w:pPr>
            <w:r>
              <w:t>100</w:t>
            </w:r>
          </w:p>
        </w:tc>
        <w:tc>
          <w:tcPr>
            <w:tcW w:w="1276"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专款专用率</w:t>
            </w:r>
          </w:p>
        </w:tc>
        <w:tc>
          <w:tcPr>
            <w:tcW w:w="5386" w:type="dxa"/>
            <w:vAlign w:val="center"/>
          </w:tcPr>
          <w:p>
            <w:pPr>
              <w:pStyle w:val="14"/>
            </w:pPr>
            <w:r>
              <w:t>宣传经费财政拨款专款专用情况</w:t>
            </w:r>
          </w:p>
        </w:tc>
        <w:tc>
          <w:tcPr>
            <w:tcW w:w="2268" w:type="dxa"/>
            <w:vAlign w:val="center"/>
          </w:tcPr>
          <w:p>
            <w:pPr>
              <w:pStyle w:val="14"/>
            </w:pPr>
            <w:r>
              <w:t>100</w:t>
            </w:r>
          </w:p>
        </w:tc>
        <w:tc>
          <w:tcPr>
            <w:tcW w:w="1276"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资金拨付时限</w:t>
            </w:r>
          </w:p>
        </w:tc>
        <w:tc>
          <w:tcPr>
            <w:tcW w:w="5386" w:type="dxa"/>
            <w:vAlign w:val="center"/>
          </w:tcPr>
          <w:p>
            <w:pPr>
              <w:pStyle w:val="14"/>
            </w:pPr>
            <w:r>
              <w:t>及时支付</w:t>
            </w:r>
          </w:p>
        </w:tc>
        <w:tc>
          <w:tcPr>
            <w:tcW w:w="2268" w:type="dxa"/>
            <w:vAlign w:val="center"/>
          </w:tcPr>
          <w:p>
            <w:pPr>
              <w:pStyle w:val="14"/>
            </w:pPr>
            <w:r>
              <w:t>100</w:t>
            </w:r>
          </w:p>
        </w:tc>
        <w:tc>
          <w:tcPr>
            <w:tcW w:w="1276"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预算执行率（%）</w:t>
            </w:r>
          </w:p>
        </w:tc>
        <w:tc>
          <w:tcPr>
            <w:tcW w:w="5386" w:type="dxa"/>
            <w:vAlign w:val="center"/>
          </w:tcPr>
          <w:p>
            <w:pPr>
              <w:pStyle w:val="14"/>
            </w:pPr>
            <w:r>
              <w:t>预算执行为全部</w:t>
            </w:r>
          </w:p>
        </w:tc>
        <w:tc>
          <w:tcPr>
            <w:tcW w:w="2268" w:type="dxa"/>
            <w:vAlign w:val="center"/>
          </w:tcPr>
          <w:p>
            <w:pPr>
              <w:pStyle w:val="14"/>
            </w:pPr>
            <w:r>
              <w:t>100</w:t>
            </w:r>
          </w:p>
        </w:tc>
        <w:tc>
          <w:tcPr>
            <w:tcW w:w="1276" w:type="dxa"/>
            <w:vAlign w:val="center"/>
          </w:tcPr>
          <w:p>
            <w:pPr>
              <w:pStyle w:val="14"/>
            </w:pPr>
            <w:r>
              <w:t>根据往年过工作实际情况测定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推动工作开展</w:t>
            </w:r>
          </w:p>
        </w:tc>
        <w:tc>
          <w:tcPr>
            <w:tcW w:w="5386" w:type="dxa"/>
            <w:vAlign w:val="center"/>
          </w:tcPr>
          <w:p>
            <w:pPr>
              <w:pStyle w:val="14"/>
            </w:pPr>
            <w:r>
              <w:t>法治化工作开展情况</w:t>
            </w:r>
          </w:p>
        </w:tc>
        <w:tc>
          <w:tcPr>
            <w:tcW w:w="2268" w:type="dxa"/>
            <w:vAlign w:val="center"/>
          </w:tcPr>
          <w:p>
            <w:pPr>
              <w:pStyle w:val="14"/>
            </w:pPr>
            <w:r>
              <w:t>≥95</w:t>
            </w:r>
          </w:p>
        </w:tc>
        <w:tc>
          <w:tcPr>
            <w:tcW w:w="1276" w:type="dxa"/>
            <w:vAlign w:val="center"/>
          </w:tcPr>
          <w:p>
            <w:pPr>
              <w:pStyle w:val="14"/>
            </w:pPr>
            <w:r>
              <w:t>根据往年过工作实际情况测定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2、信访保障经费绩效目标表</w:t>
      </w:r>
    </w:p>
    <w:tbl>
      <w:tblPr>
        <w:tblStyle w:val="7"/>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13010226P000040100075</w:t>
            </w:r>
          </w:p>
        </w:tc>
        <w:tc>
          <w:tcPr>
            <w:tcW w:w="2835" w:type="dxa"/>
            <w:vAlign w:val="center"/>
          </w:tcPr>
          <w:p>
            <w:pPr>
              <w:pStyle w:val="12"/>
            </w:pPr>
            <w:r>
              <w:t>项目名称</w:t>
            </w:r>
          </w:p>
        </w:tc>
        <w:tc>
          <w:tcPr>
            <w:tcW w:w="6095" w:type="dxa"/>
            <w:gridSpan w:val="3"/>
            <w:vAlign w:val="center"/>
          </w:tcPr>
          <w:p>
            <w:pPr>
              <w:pStyle w:val="14"/>
            </w:pPr>
            <w:r>
              <w:t>信访保障经费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128.00</w:t>
            </w:r>
          </w:p>
        </w:tc>
        <w:tc>
          <w:tcPr>
            <w:tcW w:w="2835" w:type="dxa"/>
            <w:vAlign w:val="center"/>
          </w:tcPr>
          <w:p>
            <w:pPr>
              <w:pStyle w:val="12"/>
            </w:pPr>
            <w:r>
              <w:t>其中：财政    资金</w:t>
            </w:r>
          </w:p>
        </w:tc>
        <w:tc>
          <w:tcPr>
            <w:tcW w:w="2551" w:type="dxa"/>
            <w:vAlign w:val="center"/>
          </w:tcPr>
          <w:p>
            <w:pPr>
              <w:pStyle w:val="14"/>
            </w:pPr>
            <w:r>
              <w:t>128.00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做好信访保障，维护社会稳定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1.根据工作需要，做好信访保障工作，维护社会稳定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化解信访案件数量</w:t>
            </w:r>
          </w:p>
        </w:tc>
        <w:tc>
          <w:tcPr>
            <w:tcW w:w="5386" w:type="dxa"/>
            <w:vAlign w:val="center"/>
          </w:tcPr>
          <w:p>
            <w:pPr>
              <w:pStyle w:val="14"/>
            </w:pPr>
            <w:r>
              <w:t>化解信访案件数量</w:t>
            </w:r>
          </w:p>
        </w:tc>
        <w:tc>
          <w:tcPr>
            <w:tcW w:w="2268" w:type="dxa"/>
            <w:vAlign w:val="center"/>
          </w:tcPr>
          <w:p>
            <w:pPr>
              <w:pStyle w:val="14"/>
            </w:pPr>
            <w:r>
              <w:t>利用信访救助金解决信访案件</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息诉罢访率</w:t>
            </w:r>
          </w:p>
        </w:tc>
        <w:tc>
          <w:tcPr>
            <w:tcW w:w="5386" w:type="dxa"/>
            <w:vAlign w:val="center"/>
          </w:tcPr>
          <w:p>
            <w:pPr>
              <w:pStyle w:val="14"/>
            </w:pPr>
            <w:r>
              <w:t>息诉罢访率</w:t>
            </w:r>
          </w:p>
        </w:tc>
        <w:tc>
          <w:tcPr>
            <w:tcW w:w="2268" w:type="dxa"/>
            <w:vAlign w:val="center"/>
          </w:tcPr>
          <w:p>
            <w:pPr>
              <w:pStyle w:val="14"/>
            </w:pPr>
            <w:r>
              <w:t>≥95息诉罢访率</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信访积案化解及时率</w:t>
            </w:r>
          </w:p>
        </w:tc>
        <w:tc>
          <w:tcPr>
            <w:tcW w:w="5386" w:type="dxa"/>
            <w:vAlign w:val="center"/>
          </w:tcPr>
          <w:p>
            <w:pPr>
              <w:pStyle w:val="14"/>
            </w:pPr>
            <w:r>
              <w:t>资金支付时效</w:t>
            </w:r>
          </w:p>
        </w:tc>
        <w:tc>
          <w:tcPr>
            <w:tcW w:w="2268" w:type="dxa"/>
            <w:vAlign w:val="center"/>
          </w:tcPr>
          <w:p>
            <w:pPr>
              <w:pStyle w:val="14"/>
            </w:pPr>
            <w:r>
              <w:t>资金及时支付</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实际工作支付费用</w:t>
            </w:r>
          </w:p>
        </w:tc>
        <w:tc>
          <w:tcPr>
            <w:tcW w:w="5386" w:type="dxa"/>
            <w:vAlign w:val="center"/>
          </w:tcPr>
          <w:p>
            <w:pPr>
              <w:pStyle w:val="14"/>
            </w:pPr>
            <w:r>
              <w:t>资金成本</w:t>
            </w:r>
          </w:p>
        </w:tc>
        <w:tc>
          <w:tcPr>
            <w:tcW w:w="2268" w:type="dxa"/>
            <w:vAlign w:val="center"/>
          </w:tcPr>
          <w:p>
            <w:pPr>
              <w:pStyle w:val="14"/>
            </w:pPr>
            <w:r>
              <w:t>≤30资金成本</w:t>
            </w:r>
          </w:p>
        </w:tc>
        <w:tc>
          <w:tcPr>
            <w:tcW w:w="1276" w:type="dxa"/>
            <w:vAlign w:val="center"/>
          </w:tcPr>
          <w:p>
            <w:pPr>
              <w:pStyle w:val="14"/>
            </w:pPr>
            <w:r>
              <w:t>根据实际工作情况而定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对群众合理诉求帮扶救助</w:t>
            </w:r>
          </w:p>
        </w:tc>
        <w:tc>
          <w:tcPr>
            <w:tcW w:w="5386" w:type="dxa"/>
            <w:vAlign w:val="center"/>
          </w:tcPr>
          <w:p>
            <w:pPr>
              <w:pStyle w:val="14"/>
            </w:pPr>
            <w:r>
              <w:t>减少回流率</w:t>
            </w:r>
          </w:p>
        </w:tc>
        <w:tc>
          <w:tcPr>
            <w:tcW w:w="2268" w:type="dxa"/>
            <w:vAlign w:val="center"/>
          </w:tcPr>
          <w:p>
            <w:pPr>
              <w:pStyle w:val="14"/>
            </w:pPr>
            <w:r>
              <w:t>逐年下降</w:t>
            </w:r>
          </w:p>
        </w:tc>
        <w:tc>
          <w:tcPr>
            <w:tcW w:w="1276" w:type="dxa"/>
            <w:vAlign w:val="center"/>
          </w:tcPr>
          <w:p>
            <w:pPr>
              <w:pStyle w:val="14"/>
            </w:pPr>
            <w:r>
              <w:t>根据实际工作情况而定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7"/>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5.72</w:t>
            </w:r>
          </w:p>
        </w:tc>
        <w:tc>
          <w:tcPr>
            <w:tcW w:w="964" w:type="dxa"/>
            <w:vAlign w:val="center"/>
          </w:tcPr>
          <w:p>
            <w:pPr>
              <w:pStyle w:val="17"/>
            </w:pPr>
            <w:r>
              <w:t>5.72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石家庄市长安区信访局本级小计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5.72</w:t>
            </w:r>
          </w:p>
        </w:tc>
        <w:tc>
          <w:tcPr>
            <w:tcW w:w="964" w:type="dxa"/>
            <w:vAlign w:val="center"/>
          </w:tcPr>
          <w:p>
            <w:pPr>
              <w:pStyle w:val="17"/>
            </w:pPr>
            <w:r>
              <w:t>5.72</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30</w:t>
            </w:r>
          </w:p>
        </w:tc>
        <w:tc>
          <w:tcPr>
            <w:tcW w:w="850" w:type="dxa"/>
            <w:vAlign w:val="center"/>
          </w:tcPr>
          <w:p>
            <w:pPr>
              <w:pStyle w:val="13"/>
            </w:pPr>
            <w:r>
              <w:t>0.02</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财产保险服务</w:t>
            </w:r>
          </w:p>
        </w:tc>
        <w:tc>
          <w:tcPr>
            <w:tcW w:w="1134" w:type="dxa"/>
            <w:vAlign w:val="center"/>
          </w:tcPr>
          <w:p>
            <w:pPr>
              <w:pStyle w:val="14"/>
            </w:pPr>
            <w:r>
              <w:t>C18040102</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0.60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其他印刷服务</w:t>
            </w:r>
          </w:p>
        </w:tc>
        <w:tc>
          <w:tcPr>
            <w:tcW w:w="1134" w:type="dxa"/>
            <w:vAlign w:val="center"/>
          </w:tcPr>
          <w:p>
            <w:pPr>
              <w:pStyle w:val="14"/>
            </w:pPr>
            <w:r>
              <w:t>C23090199</w:t>
            </w:r>
          </w:p>
        </w:tc>
        <w:tc>
          <w:tcPr>
            <w:tcW w:w="709" w:type="dxa"/>
            <w:vAlign w:val="center"/>
          </w:tcPr>
          <w:p>
            <w:pPr>
              <w:pStyle w:val="15"/>
            </w:pPr>
            <w:r>
              <w:t>项</w:t>
            </w:r>
          </w:p>
        </w:tc>
        <w:tc>
          <w:tcPr>
            <w:tcW w:w="850" w:type="dxa"/>
            <w:vAlign w:val="center"/>
          </w:tcPr>
          <w:p>
            <w:pPr>
              <w:pStyle w:val="13"/>
            </w:pPr>
            <w:r>
              <w:t>1</w:t>
            </w:r>
          </w:p>
        </w:tc>
        <w:tc>
          <w:tcPr>
            <w:tcW w:w="850" w:type="dxa"/>
            <w:vAlign w:val="center"/>
          </w:tcPr>
          <w:p>
            <w:pPr>
              <w:pStyle w:val="13"/>
            </w:pPr>
            <w:r>
              <w:t>0.38</w:t>
            </w:r>
          </w:p>
        </w:tc>
        <w:tc>
          <w:tcPr>
            <w:tcW w:w="964" w:type="dxa"/>
            <w:vAlign w:val="center"/>
          </w:tcPr>
          <w:p>
            <w:pPr>
              <w:pStyle w:val="13"/>
            </w:pPr>
            <w:r>
              <w:t>0.38</w:t>
            </w:r>
          </w:p>
        </w:tc>
        <w:tc>
          <w:tcPr>
            <w:tcW w:w="964" w:type="dxa"/>
            <w:vAlign w:val="center"/>
          </w:tcPr>
          <w:p>
            <w:pPr>
              <w:pStyle w:val="13"/>
            </w:pPr>
            <w:r>
              <w:t>0.38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车辆维修和保养服务</w:t>
            </w:r>
          </w:p>
        </w:tc>
        <w:tc>
          <w:tcPr>
            <w:tcW w:w="1134" w:type="dxa"/>
            <w:vAlign w:val="center"/>
          </w:tcPr>
          <w:p>
            <w:pPr>
              <w:pStyle w:val="14"/>
            </w:pPr>
            <w:r>
              <w:t>C23120301</w:t>
            </w:r>
          </w:p>
        </w:tc>
        <w:tc>
          <w:tcPr>
            <w:tcW w:w="709" w:type="dxa"/>
            <w:vAlign w:val="center"/>
          </w:tcPr>
          <w:p>
            <w:pPr>
              <w:pStyle w:val="15"/>
            </w:pPr>
            <w:r>
              <w:t>项</w:t>
            </w:r>
          </w:p>
        </w:tc>
        <w:tc>
          <w:tcPr>
            <w:tcW w:w="850" w:type="dxa"/>
            <w:vAlign w:val="center"/>
          </w:tcPr>
          <w:p>
            <w:pPr>
              <w:pStyle w:val="13"/>
            </w:pPr>
            <w:r>
              <w:t>2</w:t>
            </w:r>
          </w:p>
        </w:tc>
        <w:tc>
          <w:tcPr>
            <w:tcW w:w="850" w:type="dxa"/>
            <w:vAlign w:val="center"/>
          </w:tcPr>
          <w:p>
            <w:pPr>
              <w:pStyle w:val="13"/>
            </w:pPr>
            <w:r>
              <w:t>0.50</w:t>
            </w:r>
          </w:p>
        </w:tc>
        <w:tc>
          <w:tcPr>
            <w:tcW w:w="964" w:type="dxa"/>
            <w:vAlign w:val="center"/>
          </w:tcPr>
          <w:p>
            <w:pPr>
              <w:pStyle w:val="13"/>
            </w:pPr>
            <w:r>
              <w:t>1.00</w:t>
            </w:r>
          </w:p>
        </w:tc>
        <w:tc>
          <w:tcPr>
            <w:tcW w:w="964" w:type="dxa"/>
            <w:vAlign w:val="center"/>
          </w:tcPr>
          <w:p>
            <w:pPr>
              <w:pStyle w:val="13"/>
            </w:pPr>
            <w:r>
              <w:t>1.00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公用项目1</w:t>
            </w:r>
          </w:p>
        </w:tc>
        <w:tc>
          <w:tcPr>
            <w:tcW w:w="964" w:type="dxa"/>
            <w:vAlign w:val="center"/>
          </w:tcPr>
          <w:p>
            <w:pPr>
              <w:pStyle w:val="13"/>
            </w:pPr>
            <w:r>
              <w:t>7.20</w:t>
            </w:r>
          </w:p>
        </w:tc>
        <w:tc>
          <w:tcPr>
            <w:tcW w:w="1134" w:type="dxa"/>
            <w:vAlign w:val="center"/>
          </w:tcPr>
          <w:p>
            <w:pPr>
              <w:pStyle w:val="14"/>
            </w:pPr>
            <w:r>
              <w:t>车辆加油、添加燃料服务</w:t>
            </w:r>
          </w:p>
        </w:tc>
        <w:tc>
          <w:tcPr>
            <w:tcW w:w="1134" w:type="dxa"/>
            <w:vAlign w:val="center"/>
          </w:tcPr>
          <w:p>
            <w:pPr>
              <w:pStyle w:val="14"/>
            </w:pPr>
            <w:r>
              <w:t>C23120302</w:t>
            </w:r>
          </w:p>
        </w:tc>
        <w:tc>
          <w:tcPr>
            <w:tcW w:w="709" w:type="dxa"/>
            <w:vAlign w:val="center"/>
          </w:tcPr>
          <w:p>
            <w:pPr>
              <w:pStyle w:val="15"/>
            </w:pPr>
            <w:r>
              <w:t>项</w:t>
            </w:r>
          </w:p>
        </w:tc>
        <w:tc>
          <w:tcPr>
            <w:tcW w:w="850" w:type="dxa"/>
            <w:vAlign w:val="center"/>
          </w:tcPr>
          <w:p>
            <w:pPr>
              <w:pStyle w:val="13"/>
            </w:pPr>
            <w:r>
              <w:t>3</w:t>
            </w:r>
          </w:p>
        </w:tc>
        <w:tc>
          <w:tcPr>
            <w:tcW w:w="850" w:type="dxa"/>
            <w:vAlign w:val="center"/>
          </w:tcPr>
          <w:p>
            <w:pPr>
              <w:pStyle w:val="13"/>
            </w:pPr>
            <w:r>
              <w:t>0.28</w:t>
            </w:r>
          </w:p>
        </w:tc>
        <w:tc>
          <w:tcPr>
            <w:tcW w:w="964" w:type="dxa"/>
            <w:vAlign w:val="center"/>
          </w:tcPr>
          <w:p>
            <w:pPr>
              <w:pStyle w:val="13"/>
            </w:pPr>
            <w:r>
              <w:t>0.83</w:t>
            </w:r>
          </w:p>
        </w:tc>
        <w:tc>
          <w:tcPr>
            <w:tcW w:w="964" w:type="dxa"/>
            <w:vAlign w:val="center"/>
          </w:tcPr>
          <w:p>
            <w:pPr>
              <w:pStyle w:val="13"/>
            </w:pPr>
            <w:r>
              <w:t>0.83</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20.63</w:t>
            </w:r>
          </w:p>
        </w:tc>
        <w:tc>
          <w:tcPr>
            <w:tcW w:w="1134" w:type="dxa"/>
            <w:vAlign w:val="center"/>
          </w:tcPr>
          <w:p>
            <w:pPr>
              <w:pStyle w:val="14"/>
            </w:pPr>
            <w:r>
              <w:t>台式计算机</w:t>
            </w:r>
          </w:p>
        </w:tc>
        <w:tc>
          <w:tcPr>
            <w:tcW w:w="1134" w:type="dxa"/>
            <w:vAlign w:val="center"/>
          </w:tcPr>
          <w:p>
            <w:pPr>
              <w:pStyle w:val="14"/>
            </w:pPr>
            <w:r>
              <w:t>A02010105</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0.78</w:t>
            </w:r>
          </w:p>
        </w:tc>
        <w:tc>
          <w:tcPr>
            <w:tcW w:w="964" w:type="dxa"/>
            <w:vAlign w:val="center"/>
          </w:tcPr>
          <w:p>
            <w:pPr>
              <w:pStyle w:val="13"/>
            </w:pPr>
            <w:r>
              <w:t>1.55</w:t>
            </w:r>
          </w:p>
        </w:tc>
        <w:tc>
          <w:tcPr>
            <w:tcW w:w="964" w:type="dxa"/>
            <w:vAlign w:val="center"/>
          </w:tcPr>
          <w:p>
            <w:pPr>
              <w:pStyle w:val="13"/>
            </w:pPr>
            <w:r>
              <w:t>1.55</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公用项目2</w:t>
            </w:r>
          </w:p>
        </w:tc>
        <w:tc>
          <w:tcPr>
            <w:tcW w:w="964" w:type="dxa"/>
            <w:vAlign w:val="center"/>
          </w:tcPr>
          <w:p>
            <w:pPr>
              <w:pStyle w:val="13"/>
            </w:pPr>
            <w:r>
              <w:t>20.63</w:t>
            </w:r>
          </w:p>
        </w:tc>
        <w:tc>
          <w:tcPr>
            <w:tcW w:w="1134" w:type="dxa"/>
            <w:vAlign w:val="center"/>
          </w:tcPr>
          <w:p>
            <w:pPr>
              <w:pStyle w:val="14"/>
            </w:pPr>
            <w:r>
              <w:t>A4 黑白打印机</w:t>
            </w:r>
          </w:p>
        </w:tc>
        <w:tc>
          <w:tcPr>
            <w:tcW w:w="1134" w:type="dxa"/>
            <w:vAlign w:val="center"/>
          </w:tcPr>
          <w:p>
            <w:pPr>
              <w:pStyle w:val="14"/>
            </w:pPr>
            <w:r>
              <w:t>A02021003</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0.30</w:t>
            </w:r>
          </w:p>
        </w:tc>
        <w:tc>
          <w:tcPr>
            <w:tcW w:w="964" w:type="dxa"/>
            <w:vAlign w:val="center"/>
          </w:tcPr>
          <w:p>
            <w:pPr>
              <w:pStyle w:val="13"/>
            </w:pPr>
            <w:r>
              <w:t>0.60</w:t>
            </w:r>
          </w:p>
        </w:tc>
        <w:tc>
          <w:tcPr>
            <w:tcW w:w="964" w:type="dxa"/>
            <w:vAlign w:val="center"/>
          </w:tcPr>
          <w:p>
            <w:pPr>
              <w:pStyle w:val="13"/>
            </w:pPr>
            <w:r>
              <w:t>0.60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法治化工作经费</w:t>
            </w:r>
          </w:p>
        </w:tc>
        <w:tc>
          <w:tcPr>
            <w:tcW w:w="964" w:type="dxa"/>
            <w:vAlign w:val="center"/>
          </w:tcPr>
          <w:p>
            <w:pPr>
              <w:pStyle w:val="13"/>
            </w:pPr>
            <w:r>
              <w:t>6.00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2</w:t>
            </w:r>
          </w:p>
        </w:tc>
        <w:tc>
          <w:tcPr>
            <w:tcW w:w="850" w:type="dxa"/>
            <w:vAlign w:val="center"/>
          </w:tcPr>
          <w:p>
            <w:pPr>
              <w:pStyle w:val="13"/>
            </w:pPr>
            <w:r>
              <w:t>0.08</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石家庄市长安区信访局本级上年末固定资产金额为</w:t>
      </w:r>
      <w:r>
        <w:rPr>
          <w:rFonts w:hint="eastAsia" w:eastAsia="方正仿宋_GBK" w:cs="Times New Roman"/>
          <w:b w:val="0"/>
          <w:color w:val="000000"/>
          <w:sz w:val="28"/>
          <w:lang w:val="en-US" w:eastAsia="zh-CN"/>
        </w:rPr>
        <w:t>74.56</w:t>
      </w:r>
      <w:bookmarkStart w:id="21" w:name="_GoBack"/>
      <w:bookmarkEnd w:id="21"/>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2.31</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7"/>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455001石家庄市长安区信访局本级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rPr>
                <w:rFonts w:hint="default" w:eastAsia="方正书宋_GBK"/>
                <w:lang w:val="en-US" w:eastAsia="zh-CN"/>
              </w:rPr>
            </w:pPr>
            <w:r>
              <w:rPr>
                <w:rFonts w:hint="eastAsia"/>
                <w:lang w:val="en-US" w:eastAsia="zh-CN"/>
              </w:rPr>
              <w:t>238</w:t>
            </w:r>
          </w:p>
        </w:tc>
        <w:tc>
          <w:tcPr>
            <w:tcW w:w="2835" w:type="dxa"/>
            <w:vAlign w:val="center"/>
          </w:tcPr>
          <w:p>
            <w:pPr>
              <w:pStyle w:val="13"/>
              <w:rPr>
                <w:rFonts w:hint="default" w:eastAsia="方正书宋_GBK"/>
                <w:lang w:val="en-US" w:eastAsia="zh-CN"/>
              </w:rPr>
            </w:pPr>
            <w:r>
              <w:rPr>
                <w:rFonts w:hint="eastAsia"/>
                <w:lang w:val="en-US" w:eastAsia="zh-CN"/>
              </w:rPr>
              <w:t>74.56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rPr>
                <w:rFonts w:hint="eastAsia" w:eastAsia="方正书宋_GBK"/>
                <w:lang w:val="en-US" w:eastAsia="zh-CN"/>
              </w:rPr>
            </w:pPr>
            <w:r>
              <w:rPr>
                <w:rFonts w:hint="eastAsia"/>
                <w:lang w:val="en-US" w:eastAsia="zh-CN"/>
              </w:rPr>
              <w:t>1</w:t>
            </w:r>
          </w:p>
        </w:tc>
        <w:tc>
          <w:tcPr>
            <w:tcW w:w="2835" w:type="dxa"/>
            <w:vAlign w:val="center"/>
          </w:tcPr>
          <w:p>
            <w:pPr>
              <w:pStyle w:val="13"/>
              <w:rPr>
                <w:rFonts w:hint="default" w:eastAsia="方正书宋_GBK"/>
                <w:lang w:val="en-US" w:eastAsia="zh-CN"/>
              </w:rPr>
            </w:pPr>
            <w:r>
              <w:rPr>
                <w:rFonts w:hint="eastAsia"/>
                <w:lang w:val="en-US" w:eastAsia="zh-CN"/>
              </w:rPr>
              <w:t>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rPr>
                <w:rFonts w:hint="default" w:eastAsia="方正书宋_GBK"/>
                <w:lang w:val="en-US" w:eastAsia="zh-CN"/>
              </w:rPr>
            </w:pPr>
            <w:r>
              <w:rPr>
                <w:rFonts w:hint="eastAsia"/>
                <w:lang w:val="en-US" w:eastAsia="zh-CN"/>
              </w:rPr>
              <w:t>237</w:t>
            </w:r>
          </w:p>
        </w:tc>
        <w:tc>
          <w:tcPr>
            <w:tcW w:w="2835" w:type="dxa"/>
            <w:vAlign w:val="center"/>
          </w:tcPr>
          <w:p>
            <w:pPr>
              <w:pStyle w:val="13"/>
              <w:rPr>
                <w:rFonts w:hint="default" w:eastAsia="方正书宋_GBK"/>
                <w:lang w:val="en-US" w:eastAsia="zh-CN"/>
              </w:rPr>
            </w:pPr>
            <w:r>
              <w:rPr>
                <w:rFonts w:hint="eastAsia"/>
                <w:lang w:val="en-US" w:eastAsia="zh-CN"/>
              </w:rPr>
              <w:t>61.8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F088306"/>
    <w:multiLevelType w:val="singleLevel"/>
    <w:tmpl w:val="6F08830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271685"/>
    <w:rsid w:val="20D53408"/>
    <w:rsid w:val="22E40D08"/>
    <w:rsid w:val="39667606"/>
    <w:rsid w:val="3C514DEC"/>
    <w:rsid w:val="4FA32FA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6">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55</Pages>
  <TotalTime>16</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2026-02-24T14:52:00Z</dcterms:created>
  <dc:creator>1</dc:creator>
  <cp:lastModifiedBy>lenovo</cp:lastModifiedBy>
  <dcterms:modified xsi:type="dcterms:W3CDTF">2026-02-26T01:36:54Z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y fmtid="{D5CDD505-2E9C-101B-9397-08002B2CF9AE}" pid="3" name="ICV">
    <vt:lpwstr>EEA8D06C686C4588997A250E578F9F1D</vt:lpwstr>
  </property>
</Properties>
</file>