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bookmarkStart w:id="21" w:name="_GoBack"/>
      <w:bookmarkEnd w:id="21"/>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asciiTheme="minorEastAsia" w:hAnsiTheme="minorEastAsia" w:eastAsiaTheme="minorEastAsia" w:cstheme="minorEastAsia"/>
        </w:rPr>
        <w:t>部门</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w:t>
      </w:r>
      <w:r>
        <w:rPr>
          <w:rFonts w:hint="eastAsia" w:asciiTheme="minorEastAsia" w:hAnsiTheme="minorEastAsia" w:eastAsiaTheme="minorEastAsia" w:cstheme="minorEastAsia"/>
        </w:rPr>
        <w:t>部门预算</w:t>
      </w:r>
      <w:r>
        <w:t>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w:t>
      </w:r>
      <w:r>
        <w:rPr>
          <w:rFonts w:hint="eastAsia" w:asciiTheme="minorEastAsia" w:hAnsiTheme="minorEastAsia" w:eastAsiaTheme="minorEastAsia" w:cstheme="minorEastAsia"/>
        </w:rPr>
        <w:t>公</w:t>
      </w:r>
      <w:r>
        <w:t>”经费</w:t>
      </w:r>
      <w:r>
        <w:rPr>
          <w:rFonts w:hint="eastAsia" w:asciiTheme="minorEastAsia" w:hAnsiTheme="minorEastAsia" w:eastAsiaTheme="minorEastAsia" w:cstheme="minorEastAsia"/>
        </w:rPr>
        <w:t>预算</w:t>
      </w:r>
      <w:r>
        <w:t>情况及增减变化原因</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w:t>
      </w:r>
      <w:r>
        <w:rPr>
          <w:rFonts w:hint="eastAsia" w:asciiTheme="minorEastAsia" w:hAnsiTheme="minorEastAsia" w:eastAsiaTheme="minorEastAsia" w:cstheme="minorEastAsia"/>
        </w:rPr>
        <w:t>部门</w:t>
      </w:r>
      <w:r>
        <w:t>整体绩效目标</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w:t>
      </w:r>
      <w:r>
        <w:rPr>
          <w:rFonts w:hint="eastAsia" w:asciiTheme="minorEastAsia" w:hAnsiTheme="minorEastAsia" w:eastAsiaTheme="minorEastAsia" w:cstheme="minorEastAsia"/>
        </w:rPr>
        <w:t>部门主管专项资金预算安排情况及绩效目标</w:t>
      </w:r>
      <w:r>
        <w:tab/>
      </w:r>
      <w:r>
        <w:rPr>
          <w:rFonts w:hint="eastAsia"/>
          <w:lang w:val="en-US" w:eastAsia="zh-CN"/>
        </w:rPr>
        <w:t>2</w:t>
      </w:r>
      <w:r>
        <w:fldChar w:fldCharType="end"/>
      </w:r>
      <w:r>
        <w:rPr>
          <w:rFonts w:hint="eastAsia"/>
          <w:lang w:val="en-US" w:eastAsia="zh-CN"/>
        </w:rPr>
        <w:t>4</w:t>
      </w:r>
    </w:p>
    <w:p>
      <w:pPr>
        <w:pStyle w:val="4"/>
        <w:tabs>
          <w:tab w:val="right" w:leader="dot" w:pos="14562"/>
        </w:tabs>
      </w:pPr>
      <w:r>
        <w:fldChar w:fldCharType="begin"/>
      </w:r>
      <w:r>
        <w:instrText xml:space="preserve">HYPERLINK \l _Toc_3_3_0000000016</w:instrText>
      </w:r>
      <w:r>
        <w:fldChar w:fldCharType="separate"/>
      </w:r>
      <w:r>
        <w:t>七、</w:t>
      </w:r>
      <w:r>
        <w:rPr>
          <w:rFonts w:hint="eastAsia" w:asciiTheme="minorEastAsia" w:hAnsiTheme="minorEastAsia" w:eastAsiaTheme="minorEastAsia" w:cstheme="minorEastAsia"/>
        </w:rPr>
        <w:t>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w:t>
      </w:r>
      <w:r>
        <w:rPr>
          <w:rFonts w:hint="eastAsia" w:asciiTheme="minorEastAsia" w:hAnsiTheme="minorEastAsia" w:eastAsiaTheme="minorEastAsia" w:cstheme="minorEastAsia"/>
        </w:rPr>
        <w:t>预算</w:t>
      </w:r>
      <w:r>
        <w:t>情况</w:t>
      </w:r>
      <w:r>
        <w:tab/>
      </w:r>
      <w:r>
        <w:fldChar w:fldCharType="begin"/>
      </w:r>
      <w:r>
        <w:instrText xml:space="preserve">PAGEREF _Toc_3_3_0000000017 \h</w:instrText>
      </w:r>
      <w:r>
        <w:fldChar w:fldCharType="separate"/>
      </w:r>
      <w:r>
        <w:t>2</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w:t>
      </w:r>
      <w:r>
        <w:rPr>
          <w:rFonts w:hint="eastAsia" w:asciiTheme="minorEastAsia" w:hAnsiTheme="minorEastAsia" w:eastAsiaTheme="minorEastAsia" w:cstheme="minorEastAsia"/>
        </w:rPr>
        <w:t>资</w:t>
      </w:r>
      <w:r>
        <w:t>产信息</w:t>
      </w:r>
      <w:r>
        <w:tab/>
      </w:r>
      <w:r>
        <w:fldChar w:fldCharType="begin"/>
      </w:r>
      <w:r>
        <w:instrText xml:space="preserve">PAGEREF _Toc_3_3_0000000018 \h</w:instrText>
      </w:r>
      <w:r>
        <w:fldChar w:fldCharType="separate"/>
      </w:r>
      <w:r>
        <w:t>2</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0</w:t>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rPr>
          <w:rFonts w:hint="eastAsia"/>
          <w:lang w:val="en-US" w:eastAsia="zh-CN"/>
        </w:rPr>
        <w:t>31</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一、石家庄市长安区数据和政务服务局机关</w:t>
      </w:r>
      <w:r>
        <w:rPr>
          <w:rFonts w:hint="eastAsia" w:asciiTheme="minorEastAsia" w:hAnsiTheme="minorEastAsia" w:eastAsiaTheme="minorEastAsia" w:cstheme="minorEastAsia"/>
          <w:b w:val="0"/>
        </w:rPr>
        <w:t>本级收支预算</w:t>
      </w:r>
      <w:r>
        <w:tab/>
      </w:r>
      <w:r>
        <w:rPr>
          <w:rFonts w:hint="eastAsia"/>
          <w:lang w:val="en-US" w:eastAsia="zh-CN"/>
        </w:rPr>
        <w:t>32</w:t>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224</w:t>
            </w:r>
            <w:r>
              <w:rPr>
                <w:b w:val="0"/>
                <w:bCs w:val="0"/>
              </w:rPr>
              <w:t>石家庄市长安区</w:t>
            </w:r>
            <w:r>
              <w:rPr>
                <w:b/>
                <w:bCs/>
              </w:rPr>
              <w:t>数据和</w:t>
            </w:r>
            <w:r>
              <w:rPr>
                <w:b w:val="0"/>
                <w:bCs w:val="0"/>
              </w:rPr>
              <w:t>政</w:t>
            </w:r>
            <w:r>
              <w:rPr>
                <w:b/>
                <w:bCs/>
              </w:rPr>
              <w:t>务服务局</w:t>
            </w:r>
          </w:p>
        </w:tc>
        <w:tc>
          <w:tcPr>
            <w:tcW w:w="2126" w:type="dxa"/>
            <w:tcBorders>
              <w:top w:val="single" w:color="FFFFFF" w:sz="6" w:space="0"/>
              <w:left w:val="single" w:color="FFFFFF" w:sz="6" w:space="0"/>
              <w:right w:val="single" w:color="FFFFFF" w:sz="6" w:space="0"/>
            </w:tcBorders>
            <w:vAlign w:val="center"/>
          </w:tcPr>
          <w:p>
            <w:pPr>
              <w:pStyle w:val="11"/>
            </w:pPr>
            <w:r>
              <w:rPr>
                <w:b w:val="0"/>
                <w:bCs w:val="0"/>
              </w:rPr>
              <w:t>预算年</w:t>
            </w:r>
            <w:r>
              <w:rPr>
                <w:b/>
                <w:bCs/>
              </w:rPr>
              <w:t>度</w:t>
            </w:r>
            <w:r>
              <w:t>：2026</w:t>
            </w:r>
          </w:p>
        </w:tc>
        <w:tc>
          <w:tcPr>
            <w:tcW w:w="6661" w:type="dxa"/>
            <w:gridSpan w:val="2"/>
            <w:tcBorders>
              <w:top w:val="single" w:color="FFFFFF" w:sz="6" w:space="0"/>
              <w:left w:val="single" w:color="FFFFFF" w:sz="6" w:space="0"/>
              <w:right w:val="single" w:color="FFFFFF" w:sz="6" w:space="0"/>
            </w:tcBorders>
            <w:vAlign w:val="center"/>
          </w:tcPr>
          <w:p>
            <w:pPr>
              <w:pStyle w:val="1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1744.76</w:t>
            </w:r>
          </w:p>
        </w:tc>
        <w:tc>
          <w:tcPr>
            <w:tcW w:w="4535" w:type="dxa"/>
            <w:vAlign w:val="center"/>
          </w:tcPr>
          <w:p>
            <w:pPr>
              <w:pStyle w:val="15"/>
            </w:pPr>
            <w:r>
              <w:t>一、一般公共服务支出</w:t>
            </w:r>
          </w:p>
        </w:tc>
        <w:tc>
          <w:tcPr>
            <w:tcW w:w="2126" w:type="dxa"/>
            <w:vAlign w:val="center"/>
          </w:tcPr>
          <w:p>
            <w:pPr>
              <w:pStyle w:val="14"/>
            </w:pPr>
            <w:r>
              <w:t>1200.97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100.03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92.53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1744.76</w:t>
            </w:r>
          </w:p>
        </w:tc>
        <w:tc>
          <w:tcPr>
            <w:tcW w:w="4535" w:type="dxa"/>
            <w:vAlign w:val="center"/>
          </w:tcPr>
          <w:p>
            <w:pPr>
              <w:pStyle w:val="17"/>
            </w:pPr>
            <w:r>
              <w:t>本年支出合计</w:t>
            </w:r>
          </w:p>
        </w:tc>
        <w:tc>
          <w:tcPr>
            <w:tcW w:w="2126" w:type="dxa"/>
            <w:vAlign w:val="center"/>
          </w:tcPr>
          <w:p>
            <w:pPr>
              <w:pStyle w:val="18"/>
            </w:pPr>
            <w:r>
              <w:t>1744.76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1744.76</w:t>
            </w:r>
          </w:p>
        </w:tc>
        <w:tc>
          <w:tcPr>
            <w:tcW w:w="4535" w:type="dxa"/>
            <w:vAlign w:val="center"/>
          </w:tcPr>
          <w:p>
            <w:pPr>
              <w:pStyle w:val="17"/>
            </w:pPr>
            <w:r>
              <w:t>支出总计</w:t>
            </w:r>
          </w:p>
        </w:tc>
        <w:tc>
          <w:tcPr>
            <w:tcW w:w="2126" w:type="dxa"/>
            <w:vAlign w:val="center"/>
          </w:tcPr>
          <w:p>
            <w:pPr>
              <w:pStyle w:val="18"/>
            </w:pPr>
            <w:r>
              <w:t>1744.76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224石家庄市长安区</w:t>
            </w:r>
            <w:r>
              <w:rPr>
                <w:b/>
                <w:bCs/>
              </w:rPr>
              <w:t>数据和</w:t>
            </w:r>
            <w:r>
              <w:rPr>
                <w:b w:val="0"/>
                <w:bCs w:val="0"/>
              </w:rPr>
              <w:t>政</w:t>
            </w:r>
            <w:r>
              <w:rPr>
                <w:b/>
                <w:bCs/>
              </w:rPr>
              <w:t>务服务局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w:t>
            </w:r>
            <w:r>
              <w:rPr>
                <w:b/>
                <w:bCs/>
              </w:rPr>
              <w:t>度</w:t>
            </w:r>
            <w:r>
              <w:t>：2026</w:t>
            </w:r>
          </w:p>
        </w:tc>
        <w:tc>
          <w:tcPr>
            <w:tcW w:w="5670" w:type="dxa"/>
            <w:gridSpan w:val="5"/>
            <w:tcBorders>
              <w:top w:val="single" w:color="FFFFFF" w:sz="6" w:space="0"/>
              <w:left w:val="single" w:color="FFFFFF" w:sz="6" w:space="0"/>
              <w:right w:val="single" w:color="FFFFFF" w:sz="6" w:space="0"/>
            </w:tcBorders>
            <w:vAlign w:val="center"/>
          </w:tcPr>
          <w:p>
            <w:pPr>
              <w:pStyle w:val="1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1744.76</w:t>
            </w:r>
          </w:p>
        </w:tc>
        <w:tc>
          <w:tcPr>
            <w:tcW w:w="1134" w:type="dxa"/>
            <w:vAlign w:val="center"/>
          </w:tcPr>
          <w:p>
            <w:pPr>
              <w:pStyle w:val="18"/>
            </w:pPr>
            <w:r>
              <w:t>1744.76</w:t>
            </w:r>
          </w:p>
        </w:tc>
        <w:tc>
          <w:tcPr>
            <w:tcW w:w="1134" w:type="dxa"/>
            <w:vAlign w:val="center"/>
          </w:tcPr>
          <w:p>
            <w:pPr>
              <w:pStyle w:val="18"/>
            </w:pPr>
            <w:r>
              <w:t>1744.76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1108.61</w:t>
            </w:r>
          </w:p>
        </w:tc>
        <w:tc>
          <w:tcPr>
            <w:tcW w:w="1134" w:type="dxa"/>
            <w:vAlign w:val="center"/>
          </w:tcPr>
          <w:p>
            <w:pPr>
              <w:pStyle w:val="14"/>
            </w:pPr>
            <w:r>
              <w:t>1108.61</w:t>
            </w:r>
          </w:p>
        </w:tc>
        <w:tc>
          <w:tcPr>
            <w:tcW w:w="1134" w:type="dxa"/>
            <w:vAlign w:val="center"/>
          </w:tcPr>
          <w:p>
            <w:pPr>
              <w:pStyle w:val="14"/>
            </w:pPr>
            <w:r>
              <w:t>1108.61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92.36</w:t>
            </w:r>
          </w:p>
        </w:tc>
        <w:tc>
          <w:tcPr>
            <w:tcW w:w="1134" w:type="dxa"/>
            <w:vAlign w:val="center"/>
          </w:tcPr>
          <w:p>
            <w:pPr>
              <w:pStyle w:val="14"/>
            </w:pPr>
            <w:r>
              <w:t>92.36</w:t>
            </w:r>
          </w:p>
        </w:tc>
        <w:tc>
          <w:tcPr>
            <w:tcW w:w="1134" w:type="dxa"/>
            <w:vAlign w:val="center"/>
          </w:tcPr>
          <w:p>
            <w:pPr>
              <w:pStyle w:val="14"/>
            </w:pPr>
            <w:r>
              <w:t>92.36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206</w:t>
            </w:r>
          </w:p>
        </w:tc>
        <w:tc>
          <w:tcPr>
            <w:tcW w:w="1559" w:type="dxa"/>
            <w:vAlign w:val="center"/>
          </w:tcPr>
          <w:p>
            <w:pPr>
              <w:pStyle w:val="15"/>
            </w:pPr>
            <w:r>
              <w:t>科学技术支出</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20601</w:t>
            </w:r>
          </w:p>
        </w:tc>
        <w:tc>
          <w:tcPr>
            <w:tcW w:w="1559" w:type="dxa"/>
            <w:vAlign w:val="center"/>
          </w:tcPr>
          <w:p>
            <w:pPr>
              <w:pStyle w:val="15"/>
            </w:pPr>
            <w:r>
              <w:t>科学技术管理事务</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2060199</w:t>
            </w:r>
          </w:p>
        </w:tc>
        <w:tc>
          <w:tcPr>
            <w:tcW w:w="1559" w:type="dxa"/>
            <w:vAlign w:val="center"/>
          </w:tcPr>
          <w:p>
            <w:pPr>
              <w:pStyle w:val="15"/>
            </w:pPr>
            <w:r>
              <w:t>其他科学技术管理事务支出</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42.08</w:t>
            </w:r>
          </w:p>
        </w:tc>
        <w:tc>
          <w:tcPr>
            <w:tcW w:w="1134" w:type="dxa"/>
            <w:vAlign w:val="center"/>
          </w:tcPr>
          <w:p>
            <w:pPr>
              <w:pStyle w:val="14"/>
            </w:pPr>
            <w:r>
              <w:t>42.08</w:t>
            </w:r>
          </w:p>
        </w:tc>
        <w:tc>
          <w:tcPr>
            <w:tcW w:w="1134" w:type="dxa"/>
            <w:vAlign w:val="center"/>
          </w:tcPr>
          <w:p>
            <w:pPr>
              <w:pStyle w:val="14"/>
            </w:pPr>
            <w:r>
              <w:t>42.08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9.15</w:t>
            </w:r>
          </w:p>
        </w:tc>
        <w:tc>
          <w:tcPr>
            <w:tcW w:w="1134" w:type="dxa"/>
            <w:vAlign w:val="center"/>
          </w:tcPr>
          <w:p>
            <w:pPr>
              <w:pStyle w:val="14"/>
            </w:pPr>
            <w:r>
              <w:t>9.15</w:t>
            </w:r>
          </w:p>
        </w:tc>
        <w:tc>
          <w:tcPr>
            <w:tcW w:w="1134" w:type="dxa"/>
            <w:vAlign w:val="center"/>
          </w:tcPr>
          <w:p>
            <w:pPr>
              <w:pStyle w:val="14"/>
            </w:pPr>
            <w:r>
              <w:t>9.15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722" w:type="dxa"/>
            <w:gridSpan w:val="2"/>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444" w:type="dxa"/>
            <w:gridSpan w:val="4"/>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1744.76</w:t>
            </w:r>
          </w:p>
        </w:tc>
        <w:tc>
          <w:tcPr>
            <w:tcW w:w="1361" w:type="dxa"/>
            <w:vAlign w:val="center"/>
          </w:tcPr>
          <w:p>
            <w:pPr>
              <w:pStyle w:val="18"/>
            </w:pPr>
            <w:r>
              <w:t>1352.40</w:t>
            </w:r>
          </w:p>
        </w:tc>
        <w:tc>
          <w:tcPr>
            <w:tcW w:w="1361" w:type="dxa"/>
            <w:vAlign w:val="center"/>
          </w:tcPr>
          <w:p>
            <w:pPr>
              <w:pStyle w:val="18"/>
            </w:pPr>
            <w:r>
              <w:t>392.36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1200.97</w:t>
            </w:r>
          </w:p>
        </w:tc>
        <w:tc>
          <w:tcPr>
            <w:tcW w:w="1361" w:type="dxa"/>
            <w:vAlign w:val="center"/>
          </w:tcPr>
          <w:p>
            <w:pPr>
              <w:pStyle w:val="14"/>
            </w:pPr>
            <w:r>
              <w:t>1108.61</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1200.97</w:t>
            </w:r>
          </w:p>
        </w:tc>
        <w:tc>
          <w:tcPr>
            <w:tcW w:w="1361" w:type="dxa"/>
            <w:vAlign w:val="center"/>
          </w:tcPr>
          <w:p>
            <w:pPr>
              <w:pStyle w:val="14"/>
            </w:pPr>
            <w:r>
              <w:t>1108.61</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1108.61</w:t>
            </w:r>
          </w:p>
        </w:tc>
        <w:tc>
          <w:tcPr>
            <w:tcW w:w="1361" w:type="dxa"/>
            <w:vAlign w:val="center"/>
          </w:tcPr>
          <w:p>
            <w:pPr>
              <w:pStyle w:val="14"/>
            </w:pPr>
            <w:r>
              <w:t>1108.61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206</w:t>
            </w:r>
          </w:p>
        </w:tc>
        <w:tc>
          <w:tcPr>
            <w:tcW w:w="4535" w:type="dxa"/>
            <w:vAlign w:val="center"/>
          </w:tcPr>
          <w:p>
            <w:pPr>
              <w:pStyle w:val="15"/>
            </w:pPr>
            <w:r>
              <w:t>科学技术支出</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20601</w:t>
            </w:r>
          </w:p>
        </w:tc>
        <w:tc>
          <w:tcPr>
            <w:tcW w:w="4535" w:type="dxa"/>
            <w:vAlign w:val="center"/>
          </w:tcPr>
          <w:p>
            <w:pPr>
              <w:pStyle w:val="15"/>
            </w:pPr>
            <w:r>
              <w:t>科学技术管理事务</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2060199</w:t>
            </w:r>
          </w:p>
        </w:tc>
        <w:tc>
          <w:tcPr>
            <w:tcW w:w="4535" w:type="dxa"/>
            <w:vAlign w:val="center"/>
          </w:tcPr>
          <w:p>
            <w:pPr>
              <w:pStyle w:val="15"/>
            </w:pPr>
            <w:r>
              <w:t>其他科学技术管理事务支出</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51.23</w:t>
            </w:r>
          </w:p>
        </w:tc>
        <w:tc>
          <w:tcPr>
            <w:tcW w:w="1361" w:type="dxa"/>
            <w:vAlign w:val="center"/>
          </w:tcPr>
          <w:p>
            <w:pPr>
              <w:pStyle w:val="14"/>
            </w:pPr>
            <w:r>
              <w:t>51.23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51.23</w:t>
            </w:r>
          </w:p>
        </w:tc>
        <w:tc>
          <w:tcPr>
            <w:tcW w:w="1361" w:type="dxa"/>
            <w:vAlign w:val="center"/>
          </w:tcPr>
          <w:p>
            <w:pPr>
              <w:pStyle w:val="14"/>
            </w:pPr>
            <w:r>
              <w:t>51.23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42.08</w:t>
            </w:r>
          </w:p>
        </w:tc>
        <w:tc>
          <w:tcPr>
            <w:tcW w:w="1361" w:type="dxa"/>
            <w:vAlign w:val="center"/>
          </w:tcPr>
          <w:p>
            <w:pPr>
              <w:pStyle w:val="14"/>
            </w:pPr>
            <w:r>
              <w:t>42.08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9.15</w:t>
            </w:r>
          </w:p>
        </w:tc>
        <w:tc>
          <w:tcPr>
            <w:tcW w:w="1361" w:type="dxa"/>
            <w:vAlign w:val="center"/>
          </w:tcPr>
          <w:p>
            <w:pPr>
              <w:pStyle w:val="14"/>
            </w:pPr>
            <w:r>
              <w:t>9.15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3402"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896" w:type="dxa"/>
            <w:gridSpan w:val="4"/>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1744.76</w:t>
            </w:r>
          </w:p>
        </w:tc>
        <w:tc>
          <w:tcPr>
            <w:tcW w:w="3402" w:type="dxa"/>
            <w:vAlign w:val="center"/>
          </w:tcPr>
          <w:p>
            <w:pPr>
              <w:pStyle w:val="15"/>
            </w:pPr>
            <w:r>
              <w:t>一、一般公共服务支出</w:t>
            </w:r>
          </w:p>
        </w:tc>
        <w:tc>
          <w:tcPr>
            <w:tcW w:w="1474" w:type="dxa"/>
            <w:vAlign w:val="center"/>
          </w:tcPr>
          <w:p>
            <w:pPr>
              <w:pStyle w:val="14"/>
            </w:pPr>
            <w:r>
              <w:t>1200.97</w:t>
            </w:r>
          </w:p>
        </w:tc>
        <w:tc>
          <w:tcPr>
            <w:tcW w:w="1474" w:type="dxa"/>
            <w:vAlign w:val="center"/>
          </w:tcPr>
          <w:p>
            <w:pPr>
              <w:pStyle w:val="14"/>
            </w:pPr>
            <w:r>
              <w:t>1200.97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r>
              <w:t>300.00</w:t>
            </w:r>
          </w:p>
        </w:tc>
        <w:tc>
          <w:tcPr>
            <w:tcW w:w="1474" w:type="dxa"/>
            <w:vAlign w:val="center"/>
          </w:tcPr>
          <w:p>
            <w:pPr>
              <w:pStyle w:val="14"/>
            </w:pPr>
            <w:r>
              <w:t>300.00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100.03</w:t>
            </w:r>
          </w:p>
        </w:tc>
        <w:tc>
          <w:tcPr>
            <w:tcW w:w="1474" w:type="dxa"/>
            <w:vAlign w:val="center"/>
          </w:tcPr>
          <w:p>
            <w:pPr>
              <w:pStyle w:val="14"/>
            </w:pPr>
            <w:r>
              <w:t>100.03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51.23</w:t>
            </w:r>
          </w:p>
        </w:tc>
        <w:tc>
          <w:tcPr>
            <w:tcW w:w="1474" w:type="dxa"/>
            <w:vAlign w:val="center"/>
          </w:tcPr>
          <w:p>
            <w:pPr>
              <w:pStyle w:val="14"/>
            </w:pPr>
            <w:r>
              <w:t>51.23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92.53</w:t>
            </w:r>
          </w:p>
        </w:tc>
        <w:tc>
          <w:tcPr>
            <w:tcW w:w="1474" w:type="dxa"/>
            <w:vAlign w:val="center"/>
          </w:tcPr>
          <w:p>
            <w:pPr>
              <w:pStyle w:val="14"/>
            </w:pPr>
            <w:r>
              <w:t>92.53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1744.76</w:t>
            </w:r>
          </w:p>
        </w:tc>
        <w:tc>
          <w:tcPr>
            <w:tcW w:w="3402" w:type="dxa"/>
            <w:vAlign w:val="center"/>
          </w:tcPr>
          <w:p>
            <w:pPr>
              <w:pStyle w:val="17"/>
            </w:pPr>
            <w:r>
              <w:t>本年支出合计</w:t>
            </w:r>
          </w:p>
        </w:tc>
        <w:tc>
          <w:tcPr>
            <w:tcW w:w="1474" w:type="dxa"/>
            <w:vAlign w:val="center"/>
          </w:tcPr>
          <w:p>
            <w:pPr>
              <w:pStyle w:val="18"/>
            </w:pPr>
            <w:r>
              <w:t>1744.76</w:t>
            </w:r>
          </w:p>
        </w:tc>
        <w:tc>
          <w:tcPr>
            <w:tcW w:w="1474" w:type="dxa"/>
            <w:vAlign w:val="center"/>
          </w:tcPr>
          <w:p>
            <w:pPr>
              <w:pStyle w:val="18"/>
            </w:pPr>
            <w:r>
              <w:t>1744.76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1744.76</w:t>
            </w:r>
          </w:p>
        </w:tc>
        <w:tc>
          <w:tcPr>
            <w:tcW w:w="3402" w:type="dxa"/>
            <w:vAlign w:val="center"/>
          </w:tcPr>
          <w:p>
            <w:pPr>
              <w:pStyle w:val="17"/>
            </w:pPr>
            <w:r>
              <w:t>支出总计</w:t>
            </w:r>
          </w:p>
        </w:tc>
        <w:tc>
          <w:tcPr>
            <w:tcW w:w="1474" w:type="dxa"/>
            <w:vAlign w:val="center"/>
          </w:tcPr>
          <w:p>
            <w:pPr>
              <w:pStyle w:val="18"/>
            </w:pPr>
            <w:r>
              <w:t>1744.76</w:t>
            </w:r>
          </w:p>
        </w:tc>
        <w:tc>
          <w:tcPr>
            <w:tcW w:w="1474" w:type="dxa"/>
            <w:vAlign w:val="center"/>
          </w:tcPr>
          <w:p>
            <w:pPr>
              <w:pStyle w:val="18"/>
            </w:pPr>
            <w:r>
              <w:t>1744.76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1744.76</w:t>
            </w:r>
          </w:p>
        </w:tc>
        <w:tc>
          <w:tcPr>
            <w:tcW w:w="2551" w:type="dxa"/>
            <w:vAlign w:val="center"/>
          </w:tcPr>
          <w:p>
            <w:pPr>
              <w:pStyle w:val="18"/>
            </w:pPr>
            <w:r>
              <w:t>1352.40</w:t>
            </w:r>
          </w:p>
        </w:tc>
        <w:tc>
          <w:tcPr>
            <w:tcW w:w="2551" w:type="dxa"/>
            <w:vAlign w:val="center"/>
          </w:tcPr>
          <w:p>
            <w:pPr>
              <w:pStyle w:val="18"/>
            </w:pPr>
            <w:r>
              <w:t>392.36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1200.97</w:t>
            </w:r>
          </w:p>
        </w:tc>
        <w:tc>
          <w:tcPr>
            <w:tcW w:w="2551" w:type="dxa"/>
            <w:vAlign w:val="center"/>
          </w:tcPr>
          <w:p>
            <w:pPr>
              <w:pStyle w:val="14"/>
            </w:pPr>
            <w:r>
              <w:t>1108.61</w:t>
            </w: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1200.97</w:t>
            </w:r>
          </w:p>
        </w:tc>
        <w:tc>
          <w:tcPr>
            <w:tcW w:w="2551" w:type="dxa"/>
            <w:vAlign w:val="center"/>
          </w:tcPr>
          <w:p>
            <w:pPr>
              <w:pStyle w:val="14"/>
            </w:pPr>
            <w:r>
              <w:t>1108.61</w:t>
            </w: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1108.61</w:t>
            </w:r>
          </w:p>
        </w:tc>
        <w:tc>
          <w:tcPr>
            <w:tcW w:w="2551" w:type="dxa"/>
            <w:vAlign w:val="center"/>
          </w:tcPr>
          <w:p>
            <w:pPr>
              <w:pStyle w:val="14"/>
            </w:pPr>
            <w:r>
              <w:t>1108.61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92.36</w:t>
            </w:r>
          </w:p>
        </w:tc>
        <w:tc>
          <w:tcPr>
            <w:tcW w:w="2551" w:type="dxa"/>
            <w:vAlign w:val="center"/>
          </w:tcPr>
          <w:p>
            <w:pPr>
              <w:pStyle w:val="14"/>
            </w:pP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206</w:t>
            </w:r>
          </w:p>
        </w:tc>
        <w:tc>
          <w:tcPr>
            <w:tcW w:w="4535" w:type="dxa"/>
            <w:vAlign w:val="center"/>
          </w:tcPr>
          <w:p>
            <w:pPr>
              <w:pStyle w:val="15"/>
            </w:pPr>
            <w:r>
              <w:t>科学技术支出</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20601</w:t>
            </w:r>
          </w:p>
        </w:tc>
        <w:tc>
          <w:tcPr>
            <w:tcW w:w="4535" w:type="dxa"/>
            <w:vAlign w:val="center"/>
          </w:tcPr>
          <w:p>
            <w:pPr>
              <w:pStyle w:val="15"/>
            </w:pPr>
            <w:r>
              <w:t>科学技术管理事务</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2060199</w:t>
            </w:r>
          </w:p>
        </w:tc>
        <w:tc>
          <w:tcPr>
            <w:tcW w:w="4535" w:type="dxa"/>
            <w:vAlign w:val="center"/>
          </w:tcPr>
          <w:p>
            <w:pPr>
              <w:pStyle w:val="15"/>
            </w:pPr>
            <w:r>
              <w:t>其他科学技术管理事务支出</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51.23</w:t>
            </w:r>
          </w:p>
        </w:tc>
        <w:tc>
          <w:tcPr>
            <w:tcW w:w="2551" w:type="dxa"/>
            <w:vAlign w:val="center"/>
          </w:tcPr>
          <w:p>
            <w:pPr>
              <w:pStyle w:val="14"/>
            </w:pPr>
            <w:r>
              <w:t>51.23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51.23</w:t>
            </w:r>
          </w:p>
        </w:tc>
        <w:tc>
          <w:tcPr>
            <w:tcW w:w="2551" w:type="dxa"/>
            <w:vAlign w:val="center"/>
          </w:tcPr>
          <w:p>
            <w:pPr>
              <w:pStyle w:val="14"/>
            </w:pPr>
            <w:r>
              <w:t>51.23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42.08</w:t>
            </w:r>
          </w:p>
        </w:tc>
        <w:tc>
          <w:tcPr>
            <w:tcW w:w="2551" w:type="dxa"/>
            <w:vAlign w:val="center"/>
          </w:tcPr>
          <w:p>
            <w:pPr>
              <w:pStyle w:val="14"/>
            </w:pPr>
            <w:r>
              <w:t>42.08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9.15</w:t>
            </w:r>
          </w:p>
        </w:tc>
        <w:tc>
          <w:tcPr>
            <w:tcW w:w="2551" w:type="dxa"/>
            <w:vAlign w:val="center"/>
          </w:tcPr>
          <w:p>
            <w:pPr>
              <w:pStyle w:val="14"/>
            </w:pPr>
            <w:r>
              <w:t>9.15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1352.40</w:t>
            </w:r>
          </w:p>
        </w:tc>
        <w:tc>
          <w:tcPr>
            <w:tcW w:w="2551" w:type="dxa"/>
            <w:vAlign w:val="center"/>
          </w:tcPr>
          <w:p>
            <w:pPr>
              <w:pStyle w:val="18"/>
            </w:pPr>
            <w:r>
              <w:t>1209.95</w:t>
            </w:r>
          </w:p>
        </w:tc>
        <w:tc>
          <w:tcPr>
            <w:tcW w:w="2551" w:type="dxa"/>
            <w:vAlign w:val="center"/>
          </w:tcPr>
          <w:p>
            <w:pPr>
              <w:pStyle w:val="18"/>
            </w:pPr>
            <w:r>
              <w:t>142.45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1143.80</w:t>
            </w:r>
          </w:p>
        </w:tc>
        <w:tc>
          <w:tcPr>
            <w:tcW w:w="2551" w:type="dxa"/>
            <w:vAlign w:val="center"/>
          </w:tcPr>
          <w:p>
            <w:pPr>
              <w:pStyle w:val="14"/>
            </w:pPr>
            <w:r>
              <w:t>1143.80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305.48</w:t>
            </w:r>
          </w:p>
        </w:tc>
        <w:tc>
          <w:tcPr>
            <w:tcW w:w="2551" w:type="dxa"/>
            <w:vAlign w:val="center"/>
          </w:tcPr>
          <w:p>
            <w:pPr>
              <w:pStyle w:val="14"/>
            </w:pPr>
            <w:r>
              <w:t>305.48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185.97</w:t>
            </w:r>
          </w:p>
        </w:tc>
        <w:tc>
          <w:tcPr>
            <w:tcW w:w="2551" w:type="dxa"/>
            <w:vAlign w:val="center"/>
          </w:tcPr>
          <w:p>
            <w:pPr>
              <w:pStyle w:val="14"/>
            </w:pPr>
            <w:r>
              <w:t>185.97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137.33</w:t>
            </w:r>
          </w:p>
        </w:tc>
        <w:tc>
          <w:tcPr>
            <w:tcW w:w="2551" w:type="dxa"/>
            <w:vAlign w:val="center"/>
          </w:tcPr>
          <w:p>
            <w:pPr>
              <w:pStyle w:val="14"/>
            </w:pPr>
            <w:r>
              <w:t>137.33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204.60</w:t>
            </w:r>
          </w:p>
        </w:tc>
        <w:tc>
          <w:tcPr>
            <w:tcW w:w="2551" w:type="dxa"/>
            <w:vAlign w:val="center"/>
          </w:tcPr>
          <w:p>
            <w:pPr>
              <w:pStyle w:val="14"/>
            </w:pPr>
            <w:r>
              <w:t>204.60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42.08</w:t>
            </w:r>
          </w:p>
        </w:tc>
        <w:tc>
          <w:tcPr>
            <w:tcW w:w="2551" w:type="dxa"/>
            <w:vAlign w:val="center"/>
          </w:tcPr>
          <w:p>
            <w:pPr>
              <w:pStyle w:val="14"/>
            </w:pPr>
            <w:r>
              <w:t>42.08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9.15</w:t>
            </w:r>
          </w:p>
        </w:tc>
        <w:tc>
          <w:tcPr>
            <w:tcW w:w="2551" w:type="dxa"/>
            <w:vAlign w:val="center"/>
          </w:tcPr>
          <w:p>
            <w:pPr>
              <w:pStyle w:val="14"/>
            </w:pPr>
            <w:r>
              <w:t>9.15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3.96</w:t>
            </w:r>
          </w:p>
        </w:tc>
        <w:tc>
          <w:tcPr>
            <w:tcW w:w="2551" w:type="dxa"/>
            <w:vAlign w:val="center"/>
          </w:tcPr>
          <w:p>
            <w:pPr>
              <w:pStyle w:val="14"/>
            </w:pPr>
            <w:r>
              <w:t>3.96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62.67</w:t>
            </w:r>
          </w:p>
        </w:tc>
        <w:tc>
          <w:tcPr>
            <w:tcW w:w="2551" w:type="dxa"/>
            <w:vAlign w:val="center"/>
          </w:tcPr>
          <w:p>
            <w:pPr>
              <w:pStyle w:val="14"/>
            </w:pPr>
            <w:r>
              <w:t>62.67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142.45</w:t>
            </w:r>
          </w:p>
        </w:tc>
        <w:tc>
          <w:tcPr>
            <w:tcW w:w="2551" w:type="dxa"/>
            <w:vAlign w:val="center"/>
          </w:tcPr>
          <w:p>
            <w:pPr>
              <w:pStyle w:val="14"/>
            </w:pPr>
          </w:p>
        </w:tc>
        <w:tc>
          <w:tcPr>
            <w:tcW w:w="2551" w:type="dxa"/>
            <w:vAlign w:val="center"/>
          </w:tcPr>
          <w:p>
            <w:pPr>
              <w:pStyle w:val="14"/>
            </w:pPr>
            <w:r>
              <w:t>142.45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13.45</w:t>
            </w:r>
          </w:p>
        </w:tc>
        <w:tc>
          <w:tcPr>
            <w:tcW w:w="2551" w:type="dxa"/>
            <w:vAlign w:val="center"/>
          </w:tcPr>
          <w:p>
            <w:pPr>
              <w:pStyle w:val="14"/>
            </w:pPr>
          </w:p>
        </w:tc>
        <w:tc>
          <w:tcPr>
            <w:tcW w:w="2551" w:type="dxa"/>
            <w:vAlign w:val="center"/>
          </w:tcPr>
          <w:p>
            <w:pPr>
              <w:pStyle w:val="14"/>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1.80</w:t>
            </w:r>
          </w:p>
        </w:tc>
        <w:tc>
          <w:tcPr>
            <w:tcW w:w="2551" w:type="dxa"/>
            <w:vAlign w:val="center"/>
          </w:tcPr>
          <w:p>
            <w:pPr>
              <w:pStyle w:val="14"/>
            </w:pPr>
          </w:p>
        </w:tc>
        <w:tc>
          <w:tcPr>
            <w:tcW w:w="2551"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40.69</w:t>
            </w:r>
          </w:p>
        </w:tc>
        <w:tc>
          <w:tcPr>
            <w:tcW w:w="2551" w:type="dxa"/>
            <w:vAlign w:val="center"/>
          </w:tcPr>
          <w:p>
            <w:pPr>
              <w:pStyle w:val="14"/>
            </w:pPr>
          </w:p>
        </w:tc>
        <w:tc>
          <w:tcPr>
            <w:tcW w:w="2551" w:type="dxa"/>
            <w:vAlign w:val="center"/>
          </w:tcPr>
          <w:p>
            <w:pPr>
              <w:pStyle w:val="14"/>
              <w:rPr>
                <w:rFonts w:hint="eastAsia" w:eastAsia="方正书宋_GBK"/>
                <w:lang w:eastAsia="zh-CN"/>
              </w:rPr>
            </w:pPr>
            <w:r>
              <w:t>40.6</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34.62</w:t>
            </w:r>
          </w:p>
        </w:tc>
        <w:tc>
          <w:tcPr>
            <w:tcW w:w="2551" w:type="dxa"/>
            <w:vAlign w:val="center"/>
          </w:tcPr>
          <w:p>
            <w:pPr>
              <w:pStyle w:val="14"/>
            </w:pPr>
          </w:p>
        </w:tc>
        <w:tc>
          <w:tcPr>
            <w:tcW w:w="2551" w:type="dxa"/>
            <w:vAlign w:val="center"/>
          </w:tcPr>
          <w:p>
            <w:pPr>
              <w:pStyle w:val="14"/>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1.80</w:t>
            </w:r>
          </w:p>
        </w:tc>
        <w:tc>
          <w:tcPr>
            <w:tcW w:w="2551" w:type="dxa"/>
            <w:vAlign w:val="center"/>
          </w:tcPr>
          <w:p>
            <w:pPr>
              <w:pStyle w:val="14"/>
            </w:pPr>
          </w:p>
        </w:tc>
        <w:tc>
          <w:tcPr>
            <w:tcW w:w="2551"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0.83</w:t>
            </w:r>
          </w:p>
        </w:tc>
        <w:tc>
          <w:tcPr>
            <w:tcW w:w="2551" w:type="dxa"/>
            <w:vAlign w:val="center"/>
          </w:tcPr>
          <w:p>
            <w:pPr>
              <w:pStyle w:val="14"/>
            </w:pPr>
          </w:p>
        </w:tc>
        <w:tc>
          <w:tcPr>
            <w:tcW w:w="2551" w:type="dxa"/>
            <w:vAlign w:val="center"/>
          </w:tcPr>
          <w:p>
            <w:pPr>
              <w:pStyle w:val="14"/>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2.33</w:t>
            </w:r>
          </w:p>
        </w:tc>
        <w:tc>
          <w:tcPr>
            <w:tcW w:w="2551" w:type="dxa"/>
            <w:vAlign w:val="center"/>
          </w:tcPr>
          <w:p>
            <w:pPr>
              <w:pStyle w:val="14"/>
            </w:pPr>
          </w:p>
        </w:tc>
        <w:tc>
          <w:tcPr>
            <w:tcW w:w="2551" w:type="dxa"/>
            <w:vAlign w:val="center"/>
          </w:tcPr>
          <w:p>
            <w:pPr>
              <w:pStyle w:val="14"/>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0.56</w:t>
            </w:r>
          </w:p>
        </w:tc>
        <w:tc>
          <w:tcPr>
            <w:tcW w:w="2551" w:type="dxa"/>
            <w:vAlign w:val="center"/>
          </w:tcPr>
          <w:p>
            <w:pPr>
              <w:pStyle w:val="14"/>
            </w:pPr>
          </w:p>
        </w:tc>
        <w:tc>
          <w:tcPr>
            <w:tcW w:w="2551" w:type="dxa"/>
            <w:vAlign w:val="center"/>
          </w:tcPr>
          <w:p>
            <w:pPr>
              <w:pStyle w:val="14"/>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8.91</w:t>
            </w:r>
          </w:p>
        </w:tc>
        <w:tc>
          <w:tcPr>
            <w:tcW w:w="2551" w:type="dxa"/>
            <w:vAlign w:val="center"/>
          </w:tcPr>
          <w:p>
            <w:pPr>
              <w:pStyle w:val="14"/>
            </w:pPr>
          </w:p>
        </w:tc>
        <w:tc>
          <w:tcPr>
            <w:tcW w:w="2551" w:type="dxa"/>
            <w:vAlign w:val="center"/>
          </w:tcPr>
          <w:p>
            <w:pPr>
              <w:pStyle w:val="14"/>
            </w:pPr>
            <w:r>
              <w:t>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2.42</w:t>
            </w:r>
          </w:p>
        </w:tc>
        <w:tc>
          <w:tcPr>
            <w:tcW w:w="2551" w:type="dxa"/>
            <w:vAlign w:val="center"/>
          </w:tcPr>
          <w:p>
            <w:pPr>
              <w:pStyle w:val="14"/>
            </w:pPr>
          </w:p>
        </w:tc>
        <w:tc>
          <w:tcPr>
            <w:tcW w:w="2551" w:type="dxa"/>
            <w:vAlign w:val="center"/>
          </w:tcPr>
          <w:p>
            <w:pPr>
              <w:pStyle w:val="14"/>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21.04</w:t>
            </w:r>
          </w:p>
        </w:tc>
        <w:tc>
          <w:tcPr>
            <w:tcW w:w="2551" w:type="dxa"/>
            <w:vAlign w:val="center"/>
          </w:tcPr>
          <w:p>
            <w:pPr>
              <w:pStyle w:val="14"/>
            </w:pPr>
          </w:p>
        </w:tc>
        <w:tc>
          <w:tcPr>
            <w:tcW w:w="2551" w:type="dxa"/>
            <w:vAlign w:val="center"/>
          </w:tcPr>
          <w:p>
            <w:pPr>
              <w:pStyle w:val="14"/>
            </w:pPr>
            <w:r>
              <w:t>21.04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11.01</w:t>
            </w:r>
          </w:p>
        </w:tc>
        <w:tc>
          <w:tcPr>
            <w:tcW w:w="2551" w:type="dxa"/>
            <w:vAlign w:val="center"/>
          </w:tcPr>
          <w:p>
            <w:pPr>
              <w:pStyle w:val="14"/>
            </w:pPr>
          </w:p>
        </w:tc>
        <w:tc>
          <w:tcPr>
            <w:tcW w:w="2551" w:type="dxa"/>
            <w:vAlign w:val="center"/>
          </w:tcPr>
          <w:p>
            <w:pPr>
              <w:pStyle w:val="14"/>
            </w:pPr>
            <w:r>
              <w:t>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66.15</w:t>
            </w:r>
          </w:p>
        </w:tc>
        <w:tc>
          <w:tcPr>
            <w:tcW w:w="2551" w:type="dxa"/>
            <w:vAlign w:val="center"/>
          </w:tcPr>
          <w:p>
            <w:pPr>
              <w:pStyle w:val="14"/>
            </w:pPr>
            <w:r>
              <w:t>66.15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66.15</w:t>
            </w:r>
          </w:p>
        </w:tc>
        <w:tc>
          <w:tcPr>
            <w:tcW w:w="2551" w:type="dxa"/>
            <w:vAlign w:val="center"/>
          </w:tcPr>
          <w:p>
            <w:pPr>
              <w:pStyle w:val="14"/>
            </w:pPr>
            <w:r>
              <w:t>66.15</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ind w:firstLine="0" w:firstLineChars="0"/>
            </w:pPr>
            <w:r>
              <w:t>224石家庄市长安区</w:t>
            </w:r>
            <w:r>
              <w:rPr>
                <w:b/>
                <w:bCs/>
              </w:rPr>
              <w:t>数据和</w:t>
            </w:r>
            <w:r>
              <w:rPr>
                <w:b w:val="0"/>
                <w:bCs w:val="0"/>
              </w:rPr>
              <w:t>政</w:t>
            </w:r>
            <w:r>
              <w:rPr>
                <w:b/>
                <w:bCs/>
              </w:rPr>
              <w:t>务服务局</w:t>
            </w:r>
          </w:p>
        </w:tc>
        <w:tc>
          <w:tcPr>
            <w:tcW w:w="238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4762" w:type="dxa"/>
            <w:gridSpan w:val="2"/>
            <w:tcBorders>
              <w:top w:val="single" w:color="FFFFFF" w:sz="6" w:space="0"/>
              <w:left w:val="single" w:color="FFFFFF" w:sz="6" w:space="0"/>
              <w:right w:val="single" w:color="FFFFFF" w:sz="6" w:space="0"/>
            </w:tcBorders>
            <w:vAlign w:val="center"/>
          </w:tcPr>
          <w:p>
            <w:pPr>
              <w:pStyle w:val="10"/>
              <w:ind w:firstLine="0" w:firstLineChars="0"/>
            </w:pPr>
            <w: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2.98</w:t>
            </w:r>
          </w:p>
        </w:tc>
        <w:tc>
          <w:tcPr>
            <w:tcW w:w="2381" w:type="dxa"/>
            <w:vAlign w:val="center"/>
          </w:tcPr>
          <w:p>
            <w:pPr>
              <w:pStyle w:val="18"/>
            </w:pPr>
            <w:r>
              <w:t>2.98</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2.98</w:t>
            </w:r>
          </w:p>
        </w:tc>
        <w:tc>
          <w:tcPr>
            <w:tcW w:w="2381" w:type="dxa"/>
            <w:vAlign w:val="center"/>
          </w:tcPr>
          <w:p>
            <w:pPr>
              <w:pStyle w:val="14"/>
            </w:pPr>
            <w:r>
              <w:t>2.98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二、公务用车购置及运维费</w:t>
            </w:r>
          </w:p>
        </w:tc>
        <w:tc>
          <w:tcPr>
            <w:tcW w:w="2381" w:type="dxa"/>
            <w:vAlign w:val="center"/>
          </w:tcPr>
          <w:p>
            <w:pPr>
              <w:pStyle w:val="14"/>
            </w:pPr>
            <w:r>
              <w:t>2.42</w:t>
            </w:r>
          </w:p>
        </w:tc>
        <w:tc>
          <w:tcPr>
            <w:tcW w:w="2381" w:type="dxa"/>
            <w:vAlign w:val="center"/>
          </w:tcPr>
          <w:p>
            <w:pPr>
              <w:pStyle w:val="14"/>
            </w:pPr>
            <w:r>
              <w:t>2.42</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公务用车运行维护费</w:t>
            </w:r>
          </w:p>
        </w:tc>
        <w:tc>
          <w:tcPr>
            <w:tcW w:w="2381" w:type="dxa"/>
            <w:vAlign w:val="center"/>
          </w:tcPr>
          <w:p>
            <w:pPr>
              <w:pStyle w:val="14"/>
            </w:pPr>
            <w:r>
              <w:t>2.42</w:t>
            </w:r>
          </w:p>
        </w:tc>
        <w:tc>
          <w:tcPr>
            <w:tcW w:w="2381" w:type="dxa"/>
            <w:vAlign w:val="center"/>
          </w:tcPr>
          <w:p>
            <w:pPr>
              <w:pStyle w:val="14"/>
            </w:pPr>
            <w:r>
              <w:t>2.42</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三、公务接待费</w:t>
            </w:r>
          </w:p>
        </w:tc>
        <w:tc>
          <w:tcPr>
            <w:tcW w:w="2381" w:type="dxa"/>
            <w:vAlign w:val="center"/>
          </w:tcPr>
          <w:p>
            <w:pPr>
              <w:pStyle w:val="14"/>
            </w:pPr>
            <w:r>
              <w:t>0.56</w:t>
            </w:r>
          </w:p>
        </w:tc>
        <w:tc>
          <w:tcPr>
            <w:tcW w:w="2381" w:type="dxa"/>
            <w:vAlign w:val="center"/>
          </w:tcPr>
          <w:p>
            <w:pPr>
              <w:pStyle w:val="14"/>
            </w:pPr>
            <w:r>
              <w:t>0.56</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石家庄市长安区数据和政务服务局2026年部门预算信息公开情况说明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w:t>
      </w:r>
      <w:r>
        <w:rPr>
          <w:rFonts w:ascii="方正小标宋_GBK" w:hAnsi="方正小标宋_GBK" w:eastAsia="方正小标宋_GBK" w:cs="方正小标宋_GBK"/>
          <w:b/>
          <w:bCs/>
          <w:color w:val="000000"/>
          <w:sz w:val="44"/>
        </w:rPr>
        <w:t>数据和</w:t>
      </w:r>
      <w:r>
        <w:rPr>
          <w:rFonts w:ascii="方正小标宋_GBK" w:hAnsi="方正小标宋_GBK" w:eastAsia="方正小标宋_GBK" w:cs="方正小标宋_GBK"/>
          <w:color w:val="000000"/>
          <w:sz w:val="44"/>
        </w:rPr>
        <w:t>政</w:t>
      </w:r>
      <w:r>
        <w:rPr>
          <w:rFonts w:ascii="方正小标宋_GBK" w:hAnsi="方正小标宋_GBK" w:eastAsia="方正小标宋_GBK" w:cs="方正小标宋_GBK"/>
          <w:b/>
          <w:bCs/>
          <w:color w:val="000000"/>
          <w:sz w:val="44"/>
        </w:rPr>
        <w:t>务服务局</w:t>
      </w:r>
      <w:r>
        <w:rPr>
          <w:rFonts w:ascii="方正小标宋_GBK" w:hAnsi="方正小标宋_GBK" w:eastAsia="方正小标宋_GBK" w:cs="方正小标宋_GBK"/>
          <w:color w:val="000000"/>
          <w:sz w:val="44"/>
        </w:rPr>
        <w:t>2026年部门预算信息公开情况说明</w:t>
      </w:r>
    </w:p>
    <w:p>
      <w:pPr>
        <w:spacing w:before="0" w:after="0" w:line="500" w:lineRule="exact"/>
        <w:ind w:firstLine="560"/>
        <w:jc w:val="left"/>
        <w:outlineLvl w:val="9"/>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color w:val="000000"/>
          <w:sz w:val="30"/>
          <w:szCs w:val="30"/>
        </w:rPr>
        <w:t>按照《中华人民共和国预算法》、《地方预决算公开操作规程》和《关于进一步推进预算公开工作的实施意见》规定，现将石家庄市长安区数据和政务服务局2026年部门预算公开如下：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auto"/>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(一)负责统筹推进数字长安、数字经济、数字社会、数字政府规划和建设。组织实施全区大数据战略。协调推动全区公共服务和社会治理信息化，协调促进智慧城市建设，</w:t>
      </w:r>
      <w:r>
        <w:rPr>
          <w:rFonts w:hint="eastAsia" w:asciiTheme="minorEastAsia" w:hAnsiTheme="minorEastAsia" w:eastAsiaTheme="minorEastAsia" w:cstheme="minorEastAsia"/>
          <w:color w:val="auto"/>
          <w:sz w:val="30"/>
          <w:szCs w:val="30"/>
          <w:highlight w:val="none"/>
          <w:shd w:val="clear" w:color="auto" w:fill="FFFFFF"/>
          <w:lang w:val="en-US" w:eastAsia="zh-CN"/>
        </w:rPr>
        <w:t>提出各部门统筹安排区级信息化项目及资金的使用建议。</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（二）统筹协调全区数据资源整合共享与开发利用。协调推进全区数据规范管理，组织推动公共数据资源开发利用，推动信息资源跨行业跨部门互联互通。</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（三）协调推动全区数字经济发展，促进数字产业化和产业数字化。推动跨领域跨行业数字化转型，促进数字经济和实体经济深度融合。</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highlight w:val="none"/>
          <w:u w:val="none" w:color="auto"/>
          <w:lang w:eastAsia="zh-CN"/>
        </w:rPr>
      </w:pP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四</w:t>
      </w: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统筹推进政府履职和政务运行数字化转型。统筹推进全区“</w:t>
      </w:r>
      <w:r>
        <w:rPr>
          <w:rFonts w:hint="eastAsia" w:asciiTheme="minorEastAsia" w:hAnsiTheme="minorEastAsia" w:eastAsiaTheme="minorEastAsia" w:cstheme="minorEastAsia"/>
          <w:color w:val="000000"/>
          <w:sz w:val="30"/>
          <w:szCs w:val="30"/>
          <w:highlight w:val="none"/>
          <w:shd w:val="clear" w:color="auto" w:fill="FFFFFF"/>
          <w:lang w:val="en-US" w:eastAsia="zh-CN"/>
        </w:rPr>
        <w:t>互联网+政务服务”工作</w:t>
      </w:r>
      <w:r>
        <w:rPr>
          <w:rFonts w:hint="eastAsia" w:asciiTheme="minorEastAsia" w:hAnsiTheme="minorEastAsia" w:eastAsiaTheme="minorEastAsia" w:cstheme="minorEastAsia"/>
          <w:color w:val="auto"/>
          <w:sz w:val="30"/>
          <w:szCs w:val="30"/>
          <w:highlight w:val="none"/>
          <w:u w:val="none" w:color="auto"/>
          <w:lang w:eastAsia="zh-CN"/>
        </w:rPr>
        <w:t>，推行政务服务事项网上办理，形成管理机构、实体大厅、网上平台“三位一体”的政务服务管理模式；推进全区电子证照管理和应用。</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u w:val="none" w:color="auto"/>
          <w:lang w:eastAsia="zh-CN"/>
        </w:rPr>
      </w:pPr>
      <w:r>
        <w:rPr>
          <w:rFonts w:hint="eastAsia" w:asciiTheme="minorEastAsia" w:hAnsiTheme="minorEastAsia" w:eastAsiaTheme="minorEastAsia" w:cstheme="minorEastAsia"/>
          <w:color w:val="auto"/>
          <w:sz w:val="30"/>
          <w:szCs w:val="30"/>
          <w:u w:val="none" w:color="auto"/>
          <w:lang w:eastAsia="zh-CN"/>
        </w:rPr>
        <w:t>（五）组织协调推进全区</w:t>
      </w:r>
      <w:r>
        <w:rPr>
          <w:rFonts w:hint="eastAsia" w:asciiTheme="minorEastAsia" w:hAnsiTheme="minorEastAsia" w:eastAsiaTheme="minorEastAsia" w:cstheme="minorEastAsia"/>
          <w:color w:val="auto"/>
          <w:sz w:val="30"/>
          <w:szCs w:val="30"/>
          <w:u w:val="none" w:color="auto"/>
          <w:lang w:val="en-US" w:eastAsia="zh-CN"/>
        </w:rPr>
        <w:t>政府职能转变工作，贯彻落实党中央、国务院和省委省政府、市委市政府、区委区政府关于推进政府职能转变重要领域、关键环节重点政策措施。</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lang w:eastAsia="zh-CN"/>
        </w:rPr>
      </w:pPr>
      <w:r>
        <w:rPr>
          <w:rFonts w:hint="eastAsia" w:asciiTheme="minorEastAsia" w:hAnsiTheme="minorEastAsia" w:eastAsiaTheme="minorEastAsia" w:cstheme="minorEastAsia"/>
          <w:color w:val="auto"/>
          <w:sz w:val="30"/>
          <w:szCs w:val="30"/>
          <w:u w:val="none" w:color="auto"/>
          <w:lang w:eastAsia="zh-CN"/>
        </w:rPr>
        <w:t>（六）协调推进全区行政审批制度改革工作，协调推进全区简政放权工作。统筹推动各级政务服务标准化、规范化、便利化，推进政务服务集成化高效办。统筹指导镇（街道）、社区政务服务体系建设。指导协调全区政务服务和公共服务管理工作。推动公共服务便利化。</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highlight w:val="none"/>
          <w:u w:val="none" w:color="auto"/>
          <w:lang w:eastAsia="zh-CN"/>
        </w:rPr>
      </w:pPr>
      <w:r>
        <w:rPr>
          <w:rFonts w:hint="eastAsia" w:asciiTheme="minorEastAsia" w:hAnsiTheme="minorEastAsia" w:eastAsiaTheme="minorEastAsia" w:cstheme="minorEastAsia"/>
          <w:color w:val="auto"/>
          <w:sz w:val="30"/>
          <w:szCs w:val="30"/>
          <w:u w:val="none" w:color="auto"/>
          <w:lang w:eastAsia="zh-CN"/>
        </w:rPr>
        <w:t>（七）</w:t>
      </w:r>
      <w:r>
        <w:rPr>
          <w:rFonts w:hint="eastAsia" w:asciiTheme="minorEastAsia" w:hAnsiTheme="minorEastAsia" w:eastAsiaTheme="minorEastAsia" w:cstheme="minorEastAsia"/>
          <w:color w:val="auto"/>
          <w:sz w:val="30"/>
          <w:szCs w:val="30"/>
          <w:highlight w:val="none"/>
          <w:u w:val="none" w:color="auto"/>
          <w:lang w:eastAsia="zh-CN"/>
        </w:rPr>
        <w:t>建立健全全区政务服务、行政审批服务管理制度。对进驻政务服务大厅的部门进行统一管理，对进驻事项的办理情况、办理效能以及办事人员的服务质量等进行监督。</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highlight w:val="yellow"/>
          <w:u w:val="none" w:color="auto"/>
          <w:lang w:val="en-US" w:eastAsia="zh-CN"/>
        </w:rPr>
      </w:pP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val="en-US" w:eastAsia="zh-CN"/>
        </w:rPr>
        <w:t>八</w:t>
      </w: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引导和推动全区社会信用体系建设。拟订社会信用体系建设年度工作要点。负责组织实施守信联合激励和失信联合惩罚。开展失信问题专项治理。负责诚信宣传教育和诚信文化建设，培育和发展信用服务市场。</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rPr>
      </w:pPr>
      <w:r>
        <w:rPr>
          <w:rFonts w:hint="eastAsia" w:asciiTheme="minorEastAsia" w:hAnsiTheme="minorEastAsia" w:eastAsiaTheme="minorEastAsia" w:cstheme="minorEastAsia"/>
          <w:color w:val="auto"/>
          <w:sz w:val="30"/>
          <w:szCs w:val="30"/>
          <w:u w:val="none" w:color="auto"/>
          <w:lang w:eastAsia="zh-CN"/>
        </w:rPr>
        <w:t>（九）负责</w:t>
      </w:r>
      <w:r>
        <w:rPr>
          <w:rFonts w:hint="eastAsia" w:asciiTheme="minorEastAsia" w:hAnsiTheme="minorEastAsia" w:eastAsiaTheme="minorEastAsia" w:cstheme="minorEastAsia"/>
          <w:color w:val="auto"/>
          <w:sz w:val="30"/>
          <w:szCs w:val="30"/>
          <w:highlight w:val="none"/>
          <w:u w:val="none" w:color="auto"/>
        </w:rPr>
        <w:t>投资项目</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u w:val="none" w:color="auto"/>
          <w:lang w:eastAsia="zh-CN"/>
        </w:rPr>
        <w:t>商事登记</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u w:val="none" w:color="auto"/>
          <w:lang w:eastAsia="zh-CN"/>
        </w:rPr>
        <w:t>市场服务、文教体卫、</w:t>
      </w:r>
      <w:r>
        <w:rPr>
          <w:rFonts w:hint="eastAsia" w:asciiTheme="minorEastAsia" w:hAnsiTheme="minorEastAsia" w:eastAsiaTheme="minorEastAsia" w:cstheme="minorEastAsia"/>
          <w:color w:val="auto"/>
          <w:sz w:val="30"/>
          <w:szCs w:val="30"/>
          <w:u w:val="none" w:color="auto"/>
        </w:rPr>
        <w:t>社会事务</w:t>
      </w:r>
      <w:r>
        <w:rPr>
          <w:rFonts w:hint="eastAsia" w:asciiTheme="minorEastAsia" w:hAnsiTheme="minorEastAsia" w:eastAsiaTheme="minorEastAsia" w:cstheme="minorEastAsia"/>
          <w:color w:val="auto"/>
          <w:sz w:val="30"/>
          <w:szCs w:val="30"/>
          <w:highlight w:val="none"/>
          <w:u w:val="none" w:color="auto"/>
          <w:lang w:eastAsia="zh-CN"/>
        </w:rPr>
        <w:t>、生态环境、安全生产、农林畜水、城市</w:t>
      </w:r>
      <w:r>
        <w:rPr>
          <w:rFonts w:hint="eastAsia" w:asciiTheme="minorEastAsia" w:hAnsiTheme="minorEastAsia" w:eastAsiaTheme="minorEastAsia" w:cstheme="minorEastAsia"/>
          <w:color w:val="auto"/>
          <w:sz w:val="30"/>
          <w:szCs w:val="30"/>
          <w:u w:val="none" w:color="auto"/>
          <w:lang w:eastAsia="zh-CN"/>
        </w:rPr>
        <w:t>管理、</w:t>
      </w:r>
      <w:r>
        <w:rPr>
          <w:rFonts w:hint="eastAsia" w:asciiTheme="minorEastAsia" w:hAnsiTheme="minorEastAsia" w:eastAsiaTheme="minorEastAsia" w:cstheme="minorEastAsia"/>
          <w:color w:val="auto"/>
          <w:sz w:val="30"/>
          <w:szCs w:val="30"/>
          <w:highlight w:val="none"/>
          <w:u w:val="none" w:color="auto"/>
          <w:lang w:eastAsia="zh-CN"/>
        </w:rPr>
        <w:t>住建</w:t>
      </w:r>
      <w:r>
        <w:rPr>
          <w:rFonts w:hint="eastAsia" w:asciiTheme="minorEastAsia" w:hAnsiTheme="minorEastAsia" w:eastAsiaTheme="minorEastAsia" w:cstheme="minorEastAsia"/>
          <w:color w:val="auto"/>
          <w:sz w:val="30"/>
          <w:szCs w:val="30"/>
          <w:u w:val="none" w:color="auto"/>
        </w:rPr>
        <w:t>等方面行政审批</w:t>
      </w:r>
      <w:r>
        <w:rPr>
          <w:rFonts w:hint="eastAsia" w:asciiTheme="minorEastAsia" w:hAnsiTheme="minorEastAsia" w:eastAsiaTheme="minorEastAsia" w:cstheme="minorEastAsia"/>
          <w:color w:val="auto"/>
          <w:sz w:val="30"/>
          <w:szCs w:val="30"/>
          <w:u w:val="none" w:color="auto"/>
          <w:lang w:eastAsia="zh-CN"/>
        </w:rPr>
        <w:t>事项的办理</w:t>
      </w:r>
      <w:r>
        <w:rPr>
          <w:rFonts w:hint="eastAsia" w:asciiTheme="minorEastAsia" w:hAnsiTheme="minorEastAsia" w:eastAsiaTheme="minorEastAsia" w:cstheme="minorEastAsia"/>
          <w:color w:val="auto"/>
          <w:sz w:val="30"/>
          <w:szCs w:val="30"/>
          <w:u w:val="none" w:color="auto"/>
        </w:rPr>
        <w:t>,并承担相应的法律责任。</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u w:val="none" w:color="auto"/>
          <w:shd w:val="clear" w:color="auto" w:fill="FFFFFF"/>
        </w:rPr>
      </w:pPr>
      <w:r>
        <w:rPr>
          <w:rFonts w:hint="eastAsia" w:asciiTheme="minorEastAsia" w:hAnsiTheme="minorEastAsia" w:eastAsiaTheme="minorEastAsia" w:cstheme="minorEastAsia"/>
          <w:color w:val="auto"/>
          <w:sz w:val="30"/>
          <w:szCs w:val="30"/>
          <w:u w:val="none" w:color="auto"/>
          <w:lang w:val="en-US" w:eastAsia="zh-CN"/>
        </w:rPr>
        <w:t>（</w:t>
      </w:r>
      <w:r>
        <w:rPr>
          <w:rFonts w:hint="eastAsia" w:asciiTheme="minorEastAsia" w:hAnsiTheme="minorEastAsia" w:eastAsiaTheme="minorEastAsia" w:cstheme="minorEastAsia"/>
          <w:color w:val="auto"/>
          <w:sz w:val="30"/>
          <w:szCs w:val="30"/>
          <w:u w:val="none" w:color="auto"/>
          <w:shd w:val="clear" w:color="auto" w:fill="FFFFFF"/>
          <w:lang w:eastAsia="zh-CN"/>
        </w:rPr>
        <w:t>十</w:t>
      </w:r>
      <w:r>
        <w:rPr>
          <w:rFonts w:hint="eastAsia" w:asciiTheme="minorEastAsia" w:hAnsiTheme="minorEastAsia" w:eastAsiaTheme="minorEastAsia" w:cstheme="minorEastAsia"/>
          <w:color w:val="auto"/>
          <w:sz w:val="30"/>
          <w:szCs w:val="30"/>
          <w:u w:val="none" w:color="auto"/>
          <w:lang w:val="en-US" w:eastAsia="zh-CN"/>
        </w:rPr>
        <w:t>）</w:t>
      </w:r>
      <w:r>
        <w:rPr>
          <w:rFonts w:hint="eastAsia" w:asciiTheme="minorEastAsia" w:hAnsiTheme="minorEastAsia" w:eastAsiaTheme="minorEastAsia" w:cstheme="minorEastAsia"/>
          <w:color w:val="auto"/>
          <w:sz w:val="30"/>
          <w:szCs w:val="30"/>
          <w:u w:val="none" w:color="auto"/>
          <w:shd w:val="clear" w:color="auto" w:fill="FFFFFF"/>
        </w:rPr>
        <w:t>负责行政审批</w:t>
      </w:r>
      <w:r>
        <w:rPr>
          <w:rFonts w:hint="eastAsia" w:asciiTheme="minorEastAsia" w:hAnsiTheme="minorEastAsia" w:eastAsiaTheme="minorEastAsia" w:cstheme="minorEastAsia"/>
          <w:color w:val="auto"/>
          <w:sz w:val="30"/>
          <w:szCs w:val="30"/>
          <w:u w:val="none" w:color="auto"/>
          <w:shd w:val="clear" w:color="auto" w:fill="FFFFFF"/>
          <w:lang w:val="en-US" w:eastAsia="zh-CN"/>
        </w:rPr>
        <w:t>信息</w:t>
      </w:r>
      <w:r>
        <w:rPr>
          <w:rFonts w:hint="eastAsia" w:asciiTheme="minorEastAsia" w:hAnsiTheme="minorEastAsia" w:eastAsiaTheme="minorEastAsia" w:cstheme="minorEastAsia"/>
          <w:color w:val="auto"/>
          <w:sz w:val="30"/>
          <w:szCs w:val="30"/>
          <w:u w:val="none" w:color="auto"/>
          <w:shd w:val="clear" w:color="auto" w:fill="FFFFFF"/>
        </w:rPr>
        <w:t>资料的保管、整理、统计、</w:t>
      </w:r>
      <w:r>
        <w:rPr>
          <w:rFonts w:hint="eastAsia" w:asciiTheme="minorEastAsia" w:hAnsiTheme="minorEastAsia" w:eastAsiaTheme="minorEastAsia" w:cstheme="minorEastAsia"/>
          <w:color w:val="auto"/>
          <w:sz w:val="30"/>
          <w:szCs w:val="30"/>
          <w:u w:val="none" w:color="auto"/>
          <w:shd w:val="clear" w:color="auto" w:fill="FFFFFF"/>
          <w:lang w:eastAsia="zh-CN"/>
        </w:rPr>
        <w:t>编目</w:t>
      </w:r>
      <w:r>
        <w:rPr>
          <w:rFonts w:hint="eastAsia" w:asciiTheme="minorEastAsia" w:hAnsiTheme="minorEastAsia" w:eastAsiaTheme="minorEastAsia" w:cstheme="minorEastAsia"/>
          <w:color w:val="auto"/>
          <w:sz w:val="30"/>
          <w:szCs w:val="30"/>
          <w:u w:val="none" w:color="auto"/>
          <w:shd w:val="clear" w:color="auto" w:fill="FFFFFF"/>
        </w:rPr>
        <w:t>和定期检查工作。</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highlight w:val="none"/>
          <w:u w:val="none" w:color="auto"/>
          <w:shd w:val="clear" w:color="auto" w:fill="FFFFFF"/>
          <w:lang w:val="en-US" w:eastAsia="zh-CN"/>
        </w:rPr>
      </w:pPr>
      <w:r>
        <w:rPr>
          <w:rFonts w:hint="eastAsia" w:asciiTheme="minorEastAsia" w:hAnsiTheme="minorEastAsia" w:eastAsiaTheme="minorEastAsia" w:cstheme="minorEastAsia"/>
          <w:color w:val="auto"/>
          <w:sz w:val="30"/>
          <w:szCs w:val="30"/>
          <w:u w:val="none" w:color="auto"/>
          <w:shd w:val="clear" w:color="auto" w:fill="FFFFFF"/>
          <w:lang w:eastAsia="zh-CN"/>
        </w:rPr>
        <w:t>（</w:t>
      </w:r>
      <w:r>
        <w:rPr>
          <w:rFonts w:hint="eastAsia" w:asciiTheme="minorEastAsia" w:hAnsiTheme="minorEastAsia" w:eastAsiaTheme="minorEastAsia" w:cstheme="minorEastAsia"/>
          <w:color w:val="auto"/>
          <w:sz w:val="30"/>
          <w:szCs w:val="30"/>
          <w:u w:val="none" w:color="auto"/>
        </w:rPr>
        <w:t>十</w:t>
      </w:r>
      <w:r>
        <w:rPr>
          <w:rFonts w:hint="eastAsia" w:asciiTheme="minorEastAsia" w:hAnsiTheme="minorEastAsia" w:eastAsiaTheme="minorEastAsia" w:cstheme="minorEastAsia"/>
          <w:color w:val="auto"/>
          <w:sz w:val="30"/>
          <w:szCs w:val="30"/>
          <w:u w:val="none" w:color="auto"/>
          <w:lang w:eastAsia="zh-CN"/>
        </w:rPr>
        <w:t>一</w:t>
      </w:r>
      <w:r>
        <w:rPr>
          <w:rFonts w:hint="eastAsia" w:asciiTheme="minorEastAsia" w:hAnsiTheme="minorEastAsia" w:eastAsiaTheme="minorEastAsia" w:cstheme="minorEastAsia"/>
          <w:color w:val="auto"/>
          <w:sz w:val="30"/>
          <w:szCs w:val="30"/>
          <w:u w:val="none" w:color="auto"/>
          <w:shd w:val="clear" w:color="auto" w:fill="FFFFFF"/>
          <w:lang w:eastAsia="zh-CN"/>
        </w:rPr>
        <w:t>）</w:t>
      </w:r>
      <w:r>
        <w:rPr>
          <w:rFonts w:hint="eastAsia" w:asciiTheme="minorEastAsia" w:hAnsiTheme="minorEastAsia" w:eastAsiaTheme="minorEastAsia" w:cstheme="minorEastAsia"/>
          <w:color w:val="auto"/>
          <w:sz w:val="30"/>
          <w:szCs w:val="30"/>
          <w:highlight w:val="none"/>
          <w:u w:val="none" w:color="auto"/>
          <w:shd w:val="clear" w:color="auto" w:fill="FFFFFF"/>
          <w:lang w:eastAsia="zh-CN"/>
        </w:rPr>
        <w:t>贯彻落实省数据和政务服务局、市行政审批局、市数据资源局对我区数据和政务服务、行政审批等工作的指导意见。</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rPr>
      </w:pPr>
      <w:r>
        <w:rPr>
          <w:rFonts w:hint="eastAsia" w:asciiTheme="minorEastAsia" w:hAnsiTheme="minorEastAsia" w:eastAsiaTheme="minorEastAsia" w:cstheme="minorEastAsia"/>
          <w:color w:val="auto"/>
          <w:sz w:val="30"/>
          <w:szCs w:val="30"/>
          <w:u w:val="none" w:color="auto"/>
        </w:rPr>
        <w:t>（十</w:t>
      </w:r>
      <w:r>
        <w:rPr>
          <w:rFonts w:hint="eastAsia" w:asciiTheme="minorEastAsia" w:hAnsiTheme="minorEastAsia" w:eastAsiaTheme="minorEastAsia" w:cstheme="minorEastAsia"/>
          <w:color w:val="auto"/>
          <w:sz w:val="30"/>
          <w:szCs w:val="30"/>
          <w:u w:val="none" w:color="auto"/>
          <w:lang w:eastAsia="zh-CN"/>
        </w:rPr>
        <w:t>二</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highlight w:val="none"/>
          <w:u w:val="none" w:color="auto"/>
        </w:rPr>
        <w:t>承</w:t>
      </w:r>
      <w:r>
        <w:rPr>
          <w:rFonts w:hint="eastAsia" w:asciiTheme="minorEastAsia" w:hAnsiTheme="minorEastAsia" w:eastAsiaTheme="minorEastAsia" w:cstheme="minorEastAsia"/>
          <w:color w:val="auto"/>
          <w:sz w:val="30"/>
          <w:szCs w:val="30"/>
          <w:u w:val="none" w:color="auto"/>
        </w:rPr>
        <w:t>办</w:t>
      </w:r>
      <w:r>
        <w:rPr>
          <w:rFonts w:hint="eastAsia" w:asciiTheme="minorEastAsia" w:hAnsiTheme="minorEastAsia" w:eastAsiaTheme="minorEastAsia" w:cstheme="minorEastAsia"/>
          <w:color w:val="auto"/>
          <w:sz w:val="30"/>
          <w:szCs w:val="30"/>
          <w:u w:val="none" w:color="auto"/>
          <w:lang w:eastAsia="zh-CN"/>
        </w:rPr>
        <w:t>区委、</w:t>
      </w:r>
      <w:r>
        <w:rPr>
          <w:rFonts w:hint="eastAsia" w:asciiTheme="minorEastAsia" w:hAnsiTheme="minorEastAsia" w:eastAsiaTheme="minorEastAsia" w:cstheme="minorEastAsia"/>
          <w:color w:val="auto"/>
          <w:sz w:val="30"/>
          <w:szCs w:val="30"/>
          <w:u w:val="none" w:color="auto"/>
        </w:rPr>
        <w:t>区政府交办的其他</w:t>
      </w:r>
      <w:r>
        <w:rPr>
          <w:rFonts w:hint="eastAsia" w:asciiTheme="minorEastAsia" w:hAnsiTheme="minorEastAsia" w:eastAsiaTheme="minorEastAsia" w:cstheme="minorEastAsia"/>
          <w:color w:val="auto"/>
          <w:sz w:val="30"/>
          <w:szCs w:val="30"/>
          <w:u w:val="none" w:color="auto"/>
          <w:lang w:eastAsia="zh-CN"/>
        </w:rPr>
        <w:t>任务</w:t>
      </w:r>
      <w:r>
        <w:rPr>
          <w:rFonts w:hint="eastAsia" w:asciiTheme="minorEastAsia" w:hAnsiTheme="minorEastAsia" w:eastAsiaTheme="minorEastAsia" w:cstheme="minorEastAsia"/>
          <w:color w:val="auto"/>
          <w:sz w:val="30"/>
          <w:szCs w:val="30"/>
          <w:u w:val="none" w:color="auto"/>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（十三）与其他部门有关职责分工。</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与区委网信办、区政府办、区发改局在互联网建设与管理职责方面的分工。</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区委网信办负责维护互联网意识形态安全，监督管理互联网信息内容和网络舆情信息，组织协调互联网宣传和舆论引导工作，推动网络阵地和网络文明建设工作。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区政府办负责政府门户网站建设、管理和日常维护，政务内外网络建设管理和安全保障。</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i w:val="0"/>
          <w:iCs w:val="0"/>
          <w:color w:val="000000"/>
          <w:sz w:val="30"/>
          <w:szCs w:val="30"/>
          <w:u w:val="none"/>
          <w:shd w:val="clear" w:color="auto" w:fill="FFFFFF"/>
          <w:lang w:val="en-US" w:eastAsia="zh-CN"/>
        </w:rPr>
      </w:pPr>
      <w:r>
        <w:rPr>
          <w:rFonts w:hint="eastAsia" w:asciiTheme="minorEastAsia" w:hAnsiTheme="minorEastAsia" w:eastAsiaTheme="minorEastAsia" w:cstheme="minorEastAsia"/>
          <w:i w:val="0"/>
          <w:iCs w:val="0"/>
          <w:color w:val="000000"/>
          <w:sz w:val="30"/>
          <w:szCs w:val="30"/>
          <w:u w:val="none"/>
          <w:shd w:val="clear" w:color="auto" w:fill="FFFFFF"/>
          <w:lang w:val="en-US" w:eastAsia="zh-CN"/>
        </w:rPr>
        <w:t>区发改局负责推动中小企业数字化转型等工作。</w:t>
      </w:r>
    </w:p>
    <w:p>
      <w:pPr>
        <w:spacing w:before="0" w:after="0" w:line="240" w:lineRule="auto"/>
        <w:ind w:firstLine="640"/>
        <w:jc w:val="left"/>
        <w:outlineLvl w:val="9"/>
        <w:rPr>
          <w:rFonts w:hint="eastAsia" w:ascii="仿宋" w:hAnsi="仿宋" w:eastAsia="仿宋" w:cs="仿宋"/>
          <w:sz w:val="30"/>
          <w:szCs w:val="30"/>
        </w:rPr>
      </w:pP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石家庄市长安区数据和政务服务局机关本级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按照预算管理有关规定，目前部门预算的编制实行综合预算管理，即全部收入和支出都反映在预算中。石家庄市长安区数据和政务服务局机关及所属事业单位的收支包含在部门预算中。</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1、收入说明</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反映本部门当年全部收入。2026年预算收入1744.76万元，其中：一般公共预算收入1744.76万元，基金预算收入0.00万元，国有资本经营预算收入0.00万元，财政专户核拨收入0.00万元，单位资金收入0.00万元，上年结转结余0.00万元。</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2、支出说明</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收支预算总表支出栏、基本支出表、项目支出表按经济分类和支出功能分类科目编制，反映石家庄市长安区数据和政务服务局年度部门预算中支出预算的总体情况。2026年支出预算1744.76万元，其中基本支出1352.40万元，包括人员经费1209.95万元和日常公用经费142.45万元；项目支出392.36万元，主要为食堂保安保洁经费92.36万元，行政审批政务服务经费300万元。；预计下年使用的单位资金结余0.00万元。委托业务费共计安排170.00万元，主要用于因技术原因确需对外委托的辅助性工作和确有必要对外委托开展咨询、评审、规划等工作。</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3、比上年增减情况</w:t>
      </w:r>
    </w:p>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2026年预算收支安排1744.76万元，较2025年预算增加329.18万元，其中：基本支出增加31.62万元，主要为基本工资有所增加。项目支出增加297.56万元，主要为增加了行政审批政务服务经费300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lang w:eastAsia="zh-CN"/>
        </w:rPr>
        <w:t>2026</w:t>
      </w:r>
      <w:r>
        <w:rPr>
          <w:rFonts w:hint="eastAsia" w:asciiTheme="minorEastAsia" w:hAnsiTheme="minorEastAsia" w:eastAsiaTheme="minorEastAsia" w:cstheme="minorEastAsia"/>
        </w:rPr>
        <w:t>年，我部门机关运行经费共计安排1</w:t>
      </w:r>
      <w:r>
        <w:rPr>
          <w:rFonts w:hint="eastAsia" w:asciiTheme="minorEastAsia" w:hAnsiTheme="minorEastAsia" w:eastAsiaTheme="minorEastAsia" w:cstheme="minorEastAsia"/>
          <w:lang w:val="en-US" w:eastAsia="zh-CN"/>
        </w:rPr>
        <w:t>42.45</w:t>
      </w:r>
      <w:r>
        <w:rPr>
          <w:rFonts w:hint="eastAsia" w:asciiTheme="minorEastAsia" w:hAnsiTheme="minorEastAsia" w:eastAsiaTheme="minorEastAsia" w:cstheme="minorEastAsia"/>
        </w:rPr>
        <w:t>万元，主要用于日常办公费、印刷费、水费、电费、邮电费、办公取暖费、差旅费、维修费、会议费、培训费、公务接待费、工会会费、公务用车运行维护费、</w:t>
      </w:r>
      <w:r>
        <w:rPr>
          <w:rFonts w:hint="eastAsia" w:asciiTheme="minorEastAsia" w:hAnsiTheme="minorEastAsia" w:eastAsiaTheme="minorEastAsia" w:cstheme="minorEastAsia"/>
          <w:lang w:eastAsia="zh-CN"/>
        </w:rPr>
        <w:t>其他</w:t>
      </w:r>
      <w:r>
        <w:rPr>
          <w:rFonts w:hint="eastAsia" w:asciiTheme="minorEastAsia" w:hAnsiTheme="minorEastAsia" w:eastAsiaTheme="minorEastAsia" w:cstheme="minorEastAsia"/>
        </w:rPr>
        <w:t>交通</w:t>
      </w:r>
      <w:r>
        <w:rPr>
          <w:rFonts w:hint="eastAsia" w:asciiTheme="minorEastAsia" w:hAnsiTheme="minorEastAsia" w:eastAsiaTheme="minorEastAsia" w:cstheme="minorEastAsia"/>
          <w:lang w:eastAsia="zh-CN"/>
        </w:rPr>
        <w:t>费用、其他商品和服务支出</w:t>
      </w: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eastAsia="zh-CN"/>
        </w:rPr>
        <w:t>较上年减少</w:t>
      </w:r>
      <w:r>
        <w:rPr>
          <w:rFonts w:hint="eastAsia" w:asciiTheme="minorEastAsia" w:hAnsiTheme="minorEastAsia" w:eastAsiaTheme="minorEastAsia" w:cstheme="minorEastAsia"/>
          <w:lang w:val="en-US" w:eastAsia="zh-CN"/>
        </w:rPr>
        <w:t>0.47万元，</w:t>
      </w:r>
      <w:r>
        <w:rPr>
          <w:rFonts w:hint="eastAsia" w:asciiTheme="minorEastAsia" w:hAnsiTheme="minorEastAsia" w:eastAsiaTheme="minorEastAsia" w:cstheme="minorEastAsia"/>
          <w:lang w:eastAsia="zh-CN"/>
        </w:rPr>
        <w:t>主要原因是厉行节约，认真落实过紧日子思想</w:t>
      </w:r>
      <w:r>
        <w:rPr>
          <w:rFonts w:hint="eastAsia" w:asciiTheme="minorEastAsia" w:hAnsiTheme="minorEastAsia" w:eastAsiaTheme="minorEastAsia" w:cstheme="minorEastAsia"/>
        </w:rPr>
        <w:t>。</w:t>
      </w:r>
    </w:p>
    <w:p>
      <w:pPr>
        <w:pStyle w:val="22"/>
        <w:rPr>
          <w:rFonts w:hint="eastAsia" w:ascii="仿宋" w:hAnsi="仿宋" w:eastAsia="仿宋" w:cs="仿宋"/>
        </w:rPr>
      </w:pP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2026年，我部门财政拨款“三公”经费预算安排2.98万元，其中因公出国（境）费0.00万元；公务用车购置及运维费2.42万元（其中：公务用车购置费为0.00万元，公务用车运维费2.42万元)；公务接待费0.56万元。与2025年相比减少0.09万元，增减变化的主要原因是公务用车运行维护费比上年减少了0.07万元，公务接待费比上年减少了0.02万元。主要原因是厉行节约，认真落实过紧日子思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2026年，区数据和政务服务局将坚持以习近平新时代中国特色社会主义思想为指导，全维度发力、深层次推进改革创新举措,在行政审批制度革新、政务服务提质增效、营商环境整体创优等诸多方面努力提升。为加快建设经济强区、美丽长安贡献力量。</w:t>
      </w:r>
    </w:p>
    <w:p>
      <w:pPr>
        <w:spacing w:before="0" w:after="0" w:line="500" w:lineRule="exact"/>
        <w:ind w:firstLine="560"/>
        <w:jc w:val="left"/>
        <w:outlineLvl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color w:val="000000"/>
          <w:sz w:val="28"/>
          <w:szCs w:val="28"/>
        </w:rPr>
        <w:t>（二）分项绩效目标</w:t>
      </w:r>
    </w:p>
    <w:p>
      <w:pPr>
        <w:spacing w:line="580" w:lineRule="exact"/>
        <w:ind w:firstLine="630"/>
        <w:rPr>
          <w:rFonts w:hint="eastAsia" w:ascii="Times New Roman" w:hAnsi="Times New Roman" w:eastAsia="方正仿宋_GBK"/>
          <w:b w:val="0"/>
          <w:bCs w:val="0"/>
          <w:sz w:val="28"/>
          <w:szCs w:val="28"/>
        </w:rPr>
      </w:pPr>
      <w:r>
        <w:rPr>
          <w:rFonts w:hint="eastAsia" w:eastAsia="方正仿宋_GBK"/>
          <w:b w:val="0"/>
          <w:bCs w:val="0"/>
          <w:sz w:val="28"/>
          <w:szCs w:val="28"/>
          <w:lang w:val="en-US" w:eastAsia="zh-CN"/>
        </w:rPr>
        <w:t>1、</w:t>
      </w:r>
      <w:r>
        <w:rPr>
          <w:rFonts w:hint="eastAsia" w:ascii="Times New Roman" w:hAnsi="Times New Roman" w:eastAsia="方正仿宋_GBK"/>
          <w:b w:val="0"/>
          <w:bCs w:val="0"/>
          <w:sz w:val="28"/>
          <w:szCs w:val="28"/>
        </w:rPr>
        <w:t>持续提升政务服务。</w:t>
      </w:r>
    </w:p>
    <w:p>
      <w:pPr>
        <w:spacing w:line="580" w:lineRule="exact"/>
        <w:ind w:firstLine="630"/>
        <w:rPr>
          <w:rFonts w:hint="eastAsia" w:ascii="Times New Roman" w:hAnsi="Times New Roman" w:eastAsia="方正仿宋_GBK"/>
          <w:b w:val="0"/>
          <w:bCs w:val="0"/>
          <w:sz w:val="28"/>
          <w:szCs w:val="28"/>
          <w:lang w:eastAsia="zh-CN"/>
        </w:rPr>
      </w:pPr>
      <w:r>
        <w:rPr>
          <w:rFonts w:ascii="Times New Roman" w:hAnsi="Times New Roman" w:eastAsia="方正仿宋_GBK"/>
          <w:b w:val="0"/>
          <w:bCs w:val="0"/>
          <w:sz w:val="28"/>
          <w:szCs w:val="28"/>
        </w:rPr>
        <w:t>绩效目标：</w:t>
      </w:r>
      <w:r>
        <w:rPr>
          <w:rFonts w:hint="eastAsia" w:asciiTheme="minorEastAsia" w:hAnsiTheme="minorEastAsia" w:eastAsiaTheme="minorEastAsia" w:cstheme="minorEastAsia"/>
          <w:sz w:val="28"/>
          <w:szCs w:val="28"/>
        </w:rPr>
        <w:t>打造智慧政务，持续做好便企惠企服务工作。</w:t>
      </w:r>
    </w:p>
    <w:p>
      <w:pPr>
        <w:spacing w:line="580" w:lineRule="exact"/>
        <w:ind w:firstLine="630"/>
        <w:rPr>
          <w:rFonts w:hint="eastAsia" w:ascii="Times New Roman" w:hAnsi="Times New Roman" w:eastAsia="方正仿宋_GBK"/>
          <w:b w:val="0"/>
          <w:bCs w:val="0"/>
          <w:sz w:val="28"/>
          <w:szCs w:val="28"/>
          <w:lang w:eastAsia="zh-CN"/>
        </w:rPr>
      </w:pPr>
      <w:r>
        <w:rPr>
          <w:rFonts w:hint="eastAsia" w:ascii="Times New Roman" w:hAnsi="Times New Roman" w:eastAsia="方正仿宋_GBK"/>
          <w:b w:val="0"/>
          <w:bCs w:val="0"/>
          <w:sz w:val="28"/>
          <w:szCs w:val="28"/>
          <w:lang w:eastAsia="zh-CN"/>
        </w:rPr>
        <w:t>绩效指标：将政务服务事项清单</w:t>
      </w:r>
      <w:r>
        <w:rPr>
          <w:rFonts w:hint="eastAsia" w:ascii="Times New Roman" w:hAnsi="Times New Roman" w:eastAsia="方正仿宋_GBK"/>
          <w:b w:val="0"/>
          <w:bCs w:val="0"/>
          <w:sz w:val="28"/>
          <w:szCs w:val="28"/>
          <w:lang w:val="en-US" w:eastAsia="zh-CN"/>
        </w:rPr>
        <w:t>100%进行</w:t>
      </w:r>
      <w:r>
        <w:rPr>
          <w:rFonts w:hint="eastAsia" w:ascii="Times New Roman" w:hAnsi="Times New Roman" w:eastAsia="方正仿宋_GBK"/>
          <w:b w:val="0"/>
          <w:bCs w:val="0"/>
          <w:sz w:val="28"/>
          <w:szCs w:val="28"/>
          <w:lang w:eastAsia="zh-CN"/>
        </w:rPr>
        <w:t>细化统一，并向社会公布。推进所涉业务系统与石家庄一体化政务服务平台的深度对接，实现一网通办。精简审批环节，推动项目快速落地。</w:t>
      </w:r>
    </w:p>
    <w:p>
      <w:pPr>
        <w:pStyle w:val="25"/>
        <w:numPr>
          <w:ilvl w:val="0"/>
          <w:numId w:val="0"/>
        </w:numPr>
        <w:rPr>
          <w:rFonts w:hint="eastAsia" w:asciiTheme="minorEastAsia" w:hAnsiTheme="minorEastAsia" w:eastAsiaTheme="minorEastAsia" w:cstheme="minorEastAsia"/>
          <w:sz w:val="28"/>
          <w:szCs w:val="28"/>
        </w:rPr>
      </w:pPr>
    </w:p>
    <w:p>
      <w:pPr>
        <w:pStyle w:val="25"/>
        <w:numPr>
          <w:ilvl w:val="0"/>
          <w:numId w:val="1"/>
        </w:num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持续做好信用体系建设工作。</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lang w:eastAsia="zh-CN"/>
        </w:rPr>
        <w:t>绩效目标：做好信用信息归集工作。</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lang w:eastAsia="zh-CN"/>
        </w:rPr>
        <w:t>绩效指标：提升数据归集质量，确保行政许可和行政处罚“双公示”信息数据产生7日内，及时、准确、</w:t>
      </w:r>
      <w:r>
        <w:rPr>
          <w:rFonts w:hint="eastAsia" w:asciiTheme="minorEastAsia" w:hAnsiTheme="minorEastAsia" w:eastAsiaTheme="minorEastAsia" w:cstheme="minorEastAsia"/>
          <w:b w:val="0"/>
          <w:bCs w:val="0"/>
          <w:sz w:val="28"/>
          <w:szCs w:val="28"/>
          <w:lang w:val="en-US" w:eastAsia="zh-CN"/>
        </w:rPr>
        <w:t>100%</w:t>
      </w:r>
      <w:r>
        <w:rPr>
          <w:rFonts w:hint="eastAsia" w:asciiTheme="minorEastAsia" w:hAnsiTheme="minorEastAsia" w:eastAsiaTheme="minorEastAsia" w:cstheme="minorEastAsia"/>
          <w:b w:val="0"/>
          <w:bCs w:val="0"/>
          <w:sz w:val="28"/>
          <w:szCs w:val="28"/>
          <w:lang w:eastAsia="zh-CN"/>
        </w:rPr>
        <w:t>归集至市信用信息共享平台。至少开展</w:t>
      </w:r>
      <w:r>
        <w:rPr>
          <w:rFonts w:hint="eastAsia" w:asciiTheme="minorEastAsia" w:hAnsiTheme="minorEastAsia" w:eastAsiaTheme="minorEastAsia" w:cstheme="minorEastAsia"/>
          <w:b w:val="0"/>
          <w:bCs w:val="0"/>
          <w:sz w:val="28"/>
          <w:szCs w:val="28"/>
          <w:lang w:val="en-US" w:eastAsia="zh-CN"/>
        </w:rPr>
        <w:t>1次</w:t>
      </w:r>
      <w:r>
        <w:rPr>
          <w:rFonts w:hint="eastAsia" w:asciiTheme="minorEastAsia" w:hAnsiTheme="minorEastAsia" w:eastAsiaTheme="minorEastAsia" w:cstheme="minorEastAsia"/>
          <w:b w:val="0"/>
          <w:bCs w:val="0"/>
          <w:sz w:val="28"/>
          <w:szCs w:val="28"/>
          <w:lang w:eastAsia="zh-CN"/>
        </w:rPr>
        <w:t>诚信主题宣传活动。</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lang w:val="en-US" w:eastAsia="zh-CN"/>
        </w:rPr>
        <w:t>3、</w:t>
      </w:r>
      <w:r>
        <w:rPr>
          <w:rFonts w:hint="eastAsia" w:asciiTheme="minorEastAsia" w:hAnsiTheme="minorEastAsia" w:eastAsiaTheme="minorEastAsia" w:cstheme="minorEastAsia"/>
          <w:b w:val="0"/>
          <w:bCs w:val="0"/>
          <w:sz w:val="28"/>
          <w:szCs w:val="28"/>
          <w:lang w:eastAsia="zh-CN"/>
        </w:rPr>
        <w:t>保障政务服务工作正常运转。</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rPr>
        <w:t>绩效目标：</w:t>
      </w:r>
      <w:r>
        <w:rPr>
          <w:rFonts w:hint="eastAsia" w:asciiTheme="minorEastAsia" w:hAnsiTheme="minorEastAsia" w:eastAsiaTheme="minorEastAsia" w:cstheme="minorEastAsia"/>
          <w:b w:val="0"/>
          <w:bCs w:val="0"/>
          <w:sz w:val="28"/>
          <w:szCs w:val="28"/>
          <w:lang w:eastAsia="zh-CN"/>
        </w:rPr>
        <w:t>确保政务服务工作正常运转，各类职能工作顺利进行。</w:t>
      </w:r>
    </w:p>
    <w:p>
      <w:pPr>
        <w:spacing w:line="580" w:lineRule="exact"/>
        <w:ind w:firstLine="63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b w:val="0"/>
          <w:bCs w:val="0"/>
          <w:sz w:val="28"/>
          <w:szCs w:val="28"/>
        </w:rPr>
        <w:t>绩效指标：</w:t>
      </w:r>
      <w:r>
        <w:rPr>
          <w:rFonts w:hint="eastAsia" w:asciiTheme="minorEastAsia" w:hAnsiTheme="minorEastAsia" w:eastAsiaTheme="minorEastAsia" w:cstheme="minorEastAsia"/>
          <w:b w:val="0"/>
          <w:bCs w:val="0"/>
          <w:sz w:val="28"/>
          <w:szCs w:val="28"/>
          <w:lang w:eastAsia="zh-CN"/>
        </w:rPr>
        <w:t>能够按时间进度支付水电费、办公取暖费等</w:t>
      </w:r>
      <w:r>
        <w:rPr>
          <w:rFonts w:hint="eastAsia" w:asciiTheme="minorEastAsia" w:hAnsiTheme="minorEastAsia" w:eastAsiaTheme="minorEastAsia" w:cstheme="minorEastAsia"/>
          <w:b w:val="0"/>
          <w:bCs w:val="0"/>
          <w:sz w:val="28"/>
          <w:szCs w:val="28"/>
          <w:lang w:val="en-US" w:eastAsia="zh-CN"/>
        </w:rPr>
        <w:t>，确保政务服务工作100%正常运转。</w:t>
      </w:r>
    </w:p>
    <w:p>
      <w:pPr>
        <w:spacing w:line="580" w:lineRule="exact"/>
        <w:ind w:firstLine="630"/>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lang w:val="en-US" w:eastAsia="zh-CN"/>
        </w:rPr>
        <w:t>4、</w:t>
      </w:r>
      <w:r>
        <w:rPr>
          <w:rFonts w:hint="eastAsia" w:asciiTheme="minorEastAsia" w:hAnsiTheme="minorEastAsia" w:eastAsiaTheme="minorEastAsia" w:cstheme="minorEastAsia"/>
          <w:b w:val="0"/>
          <w:bCs w:val="0"/>
          <w:sz w:val="28"/>
          <w:szCs w:val="28"/>
        </w:rPr>
        <w:t>推进数据建设工作。</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rPr>
        <w:t>绩效目标：</w:t>
      </w:r>
      <w:r>
        <w:rPr>
          <w:rFonts w:hint="eastAsia" w:asciiTheme="minorEastAsia" w:hAnsiTheme="minorEastAsia" w:eastAsiaTheme="minorEastAsia" w:cstheme="minorEastAsia"/>
          <w:b w:val="0"/>
          <w:bCs w:val="0"/>
          <w:sz w:val="28"/>
          <w:szCs w:val="28"/>
          <w:lang w:eastAsia="zh-CN"/>
        </w:rPr>
        <w:t>建设我区城市生命线数字化治理平台。</w:t>
      </w:r>
    </w:p>
    <w:p>
      <w:pPr>
        <w:spacing w:line="580" w:lineRule="exact"/>
        <w:ind w:firstLine="630"/>
        <w:rPr>
          <w:rFonts w:hint="eastAsia" w:asciiTheme="minorEastAsia" w:hAnsiTheme="minorEastAsia" w:eastAsiaTheme="minorEastAsia" w:cstheme="minorEastAsia"/>
          <w:b w:val="0"/>
          <w:bCs w:val="0"/>
          <w:sz w:val="28"/>
          <w:szCs w:val="28"/>
          <w:lang w:eastAsia="zh-CN"/>
        </w:rPr>
      </w:pPr>
      <w:r>
        <w:rPr>
          <w:rFonts w:hint="eastAsia" w:asciiTheme="minorEastAsia" w:hAnsiTheme="minorEastAsia" w:eastAsiaTheme="minorEastAsia" w:cstheme="minorEastAsia"/>
          <w:b w:val="0"/>
          <w:bCs w:val="0"/>
          <w:sz w:val="28"/>
          <w:szCs w:val="28"/>
          <w:lang w:eastAsia="zh-CN"/>
        </w:rPr>
        <w:t>绩效指标：积极作为，推动我区数字经济进一步发展。立足我区实际，</w:t>
      </w:r>
      <w:r>
        <w:rPr>
          <w:rFonts w:hint="eastAsia" w:asciiTheme="minorEastAsia" w:hAnsiTheme="minorEastAsia" w:eastAsiaTheme="minorEastAsia" w:cstheme="minorEastAsia"/>
          <w:b w:val="0"/>
          <w:bCs w:val="0"/>
          <w:sz w:val="28"/>
          <w:szCs w:val="28"/>
          <w:lang w:val="en-US" w:eastAsia="zh-CN"/>
        </w:rPr>
        <w:t>100%</w:t>
      </w:r>
      <w:r>
        <w:rPr>
          <w:rFonts w:hint="eastAsia" w:asciiTheme="minorEastAsia" w:hAnsiTheme="minorEastAsia" w:eastAsiaTheme="minorEastAsia" w:cstheme="minorEastAsia"/>
          <w:b w:val="0"/>
          <w:bCs w:val="0"/>
          <w:sz w:val="28"/>
          <w:szCs w:val="28"/>
          <w:lang w:eastAsia="zh-CN"/>
        </w:rPr>
        <w:t>摸清建立我区数字经济产业底账。</w:t>
      </w:r>
    </w:p>
    <w:p>
      <w:pPr>
        <w:pStyle w:val="2"/>
        <w:rPr>
          <w:rFonts w:hint="eastAsia"/>
        </w:rPr>
      </w:pPr>
    </w:p>
    <w:p>
      <w:pPr>
        <w:spacing w:before="0" w:after="0" w:line="500" w:lineRule="exact"/>
        <w:ind w:firstLine="560"/>
        <w:jc w:val="left"/>
        <w:outlineLvl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color w:val="000000"/>
          <w:sz w:val="28"/>
          <w:szCs w:val="28"/>
        </w:rPr>
        <w:t>（三）工作保障措施</w:t>
      </w:r>
    </w:p>
    <w:p>
      <w:pPr>
        <w:pStyle w:val="2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一是通过已打造的“15分钟政务服务圈”，提升了群众和企业的办事便利度，实现审批事项“就近办、家门口办”。</w:t>
      </w:r>
    </w:p>
    <w:p>
      <w:pPr>
        <w:pStyle w:val="2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二是做好企业开办“一件事一次办”、便利市场退出、证照联办、歇业备案工作，提升经营主体、群众办事便利感和满意度。</w:t>
      </w:r>
    </w:p>
    <w:p>
      <w:pPr>
        <w:pStyle w:val="2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三是进一步加强信用信息归集共享，做好失信联合惩戒退出工作，稳步推进融资信用服务平台认证和融资信用服务平台授权查询工作，持续开展信用宣传活动。</w:t>
      </w:r>
    </w:p>
    <w:p>
      <w:pPr>
        <w:pStyle w:val="2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四是优化项目审批流程，精简审批环节，压缩审批时限。</w:t>
      </w:r>
    </w:p>
    <w:p>
      <w:pPr>
        <w:pStyle w:val="26"/>
        <w:sectPr>
          <w:pgSz w:w="16840" w:h="11900" w:orient="landscape"/>
          <w:pgMar w:top="1361" w:right="1020" w:bottom="1361" w:left="1020" w:header="720" w:footer="720" w:gutter="0"/>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pStyle w:val="2"/>
        <w:numPr>
          <w:ilvl w:val="0"/>
          <w:numId w:val="0"/>
        </w:numPr>
        <w:rPr>
          <w:rFonts w:hint="eastAsia" w:asciiTheme="minorEastAsia" w:hAnsiTheme="minorEastAsia" w:eastAsiaTheme="minorEastAsia" w:cstheme="minorEastAsia"/>
          <w:sz w:val="28"/>
          <w:szCs w:val="28"/>
        </w:rPr>
      </w:pPr>
    </w:p>
    <w:p>
      <w:pPr>
        <w:pStyle w:val="2"/>
        <w:numPr>
          <w:ilvl w:val="0"/>
          <w:numId w:val="0"/>
        </w:numPr>
        <w:ind w:firstLine="1400" w:firstLineChars="500"/>
        <w:rPr>
          <w:rFonts w:hint="eastAsia" w:asciiTheme="minorEastAsia" w:hAnsiTheme="minorEastAsia" w:eastAsiaTheme="minorEastAsia" w:cstheme="minorEastAsia"/>
          <w:sz w:val="28"/>
          <w:szCs w:val="28"/>
          <w:lang w:eastAsia="zh-CN"/>
        </w:rPr>
        <w:sectPr>
          <w:pgSz w:w="16840" w:h="11900" w:orient="landscape"/>
          <w:pgMar w:top="1361" w:right="1020" w:bottom="1134" w:left="1020" w:header="720" w:footer="720" w:gutter="0"/>
        </w:sectPr>
      </w:pPr>
      <w:r>
        <w:rPr>
          <w:rFonts w:hint="eastAsia" w:asciiTheme="minorEastAsia" w:hAnsiTheme="minorEastAsia" w:eastAsiaTheme="minorEastAsia" w:cstheme="minorEastAsia"/>
          <w:sz w:val="28"/>
          <w:szCs w:val="28"/>
          <w:lang w:eastAsia="zh-CN"/>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1、食堂保安保洁经费绩效目标表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13010226P00011110003E</w:t>
            </w:r>
          </w:p>
        </w:tc>
        <w:tc>
          <w:tcPr>
            <w:tcW w:w="2835" w:type="dxa"/>
            <w:vAlign w:val="center"/>
          </w:tcPr>
          <w:p>
            <w:pPr>
              <w:pStyle w:val="13"/>
            </w:pPr>
            <w:r>
              <w:t>项目名称</w:t>
            </w:r>
          </w:p>
        </w:tc>
        <w:tc>
          <w:tcPr>
            <w:tcW w:w="6095" w:type="dxa"/>
            <w:gridSpan w:val="3"/>
            <w:vAlign w:val="center"/>
          </w:tcPr>
          <w:p>
            <w:pPr>
              <w:pStyle w:val="15"/>
            </w:pPr>
            <w:r>
              <w:t>食堂保安保洁经费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92.36</w:t>
            </w:r>
          </w:p>
        </w:tc>
        <w:tc>
          <w:tcPr>
            <w:tcW w:w="2835" w:type="dxa"/>
            <w:vAlign w:val="center"/>
          </w:tcPr>
          <w:p>
            <w:pPr>
              <w:pStyle w:val="13"/>
            </w:pPr>
            <w:r>
              <w:t>其中：财政    资金</w:t>
            </w:r>
          </w:p>
        </w:tc>
        <w:tc>
          <w:tcPr>
            <w:tcW w:w="2551" w:type="dxa"/>
            <w:vAlign w:val="center"/>
          </w:tcPr>
          <w:p>
            <w:pPr>
              <w:pStyle w:val="15"/>
            </w:pPr>
            <w:r>
              <w:t>92.36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用于购买食材、燃气等，支付食堂、保安、保洁人员工资。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1.目标内容1能够为工作人员提供健康安全的工作餐</w:t>
            </w:r>
          </w:p>
          <w:p>
            <w:pPr>
              <w:pStyle w:val="15"/>
            </w:pPr>
            <w:r>
              <w:t>2.目标内容2能保证整洁的工作环境，保障办公场所的安全和正常秩序。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完成食堂、保安保洁的工作任务</w:t>
            </w:r>
          </w:p>
        </w:tc>
        <w:tc>
          <w:tcPr>
            <w:tcW w:w="5386" w:type="dxa"/>
            <w:vAlign w:val="center"/>
          </w:tcPr>
          <w:p>
            <w:pPr>
              <w:pStyle w:val="15"/>
            </w:pPr>
            <w:r>
              <w:t>完成食堂、保安保洁的工作任务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保障达到工作要求</w:t>
            </w:r>
          </w:p>
        </w:tc>
        <w:tc>
          <w:tcPr>
            <w:tcW w:w="5386" w:type="dxa"/>
            <w:vAlign w:val="center"/>
          </w:tcPr>
          <w:p>
            <w:pPr>
              <w:pStyle w:val="15"/>
            </w:pPr>
            <w:r>
              <w:t>保障达到工作要求</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及时提供餐饮和保安保洁服务</w:t>
            </w:r>
          </w:p>
        </w:tc>
        <w:tc>
          <w:tcPr>
            <w:tcW w:w="5386" w:type="dxa"/>
            <w:vAlign w:val="center"/>
          </w:tcPr>
          <w:p>
            <w:pPr>
              <w:pStyle w:val="15"/>
            </w:pPr>
            <w:r>
              <w:t>及时提供餐饮和保安保洁服务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厉行节约，不超</w:t>
            </w:r>
            <w:r>
              <w:rPr>
                <w:b w:val="0"/>
                <w:bCs w:val="0"/>
              </w:rPr>
              <w:t>预算</w:t>
            </w:r>
            <w:r>
              <w:t>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保障食堂及工作场所的正常运转</w:t>
            </w:r>
          </w:p>
        </w:tc>
        <w:tc>
          <w:tcPr>
            <w:tcW w:w="5386" w:type="dxa"/>
            <w:vAlign w:val="center"/>
          </w:tcPr>
          <w:p>
            <w:pPr>
              <w:pStyle w:val="15"/>
            </w:pPr>
            <w:r>
              <w:t>保障食堂及工作场所的正常运转</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树立政府部门良好的社会形象</w:t>
            </w:r>
          </w:p>
        </w:tc>
        <w:tc>
          <w:tcPr>
            <w:tcW w:w="5386" w:type="dxa"/>
            <w:vAlign w:val="center"/>
          </w:tcPr>
          <w:p>
            <w:pPr>
              <w:pStyle w:val="15"/>
            </w:pPr>
            <w:r>
              <w:t>树立政府部门良好的社会形象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持续提供餐饮、保安保洁服务</w:t>
            </w:r>
          </w:p>
        </w:tc>
        <w:tc>
          <w:tcPr>
            <w:tcW w:w="5386" w:type="dxa"/>
            <w:vAlign w:val="center"/>
          </w:tcPr>
          <w:p>
            <w:pPr>
              <w:pStyle w:val="15"/>
            </w:pPr>
            <w:r>
              <w:t>持续提供餐饮、保安保洁服务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2、行政审批政务服务经费绩效目标表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13010226P00011110002T</w:t>
            </w:r>
          </w:p>
        </w:tc>
        <w:tc>
          <w:tcPr>
            <w:tcW w:w="2835" w:type="dxa"/>
            <w:vAlign w:val="center"/>
          </w:tcPr>
          <w:p>
            <w:pPr>
              <w:pStyle w:val="13"/>
            </w:pPr>
            <w:r>
              <w:t>项目名称</w:t>
            </w:r>
          </w:p>
        </w:tc>
        <w:tc>
          <w:tcPr>
            <w:tcW w:w="6095" w:type="dxa"/>
            <w:gridSpan w:val="3"/>
            <w:vAlign w:val="center"/>
          </w:tcPr>
          <w:p>
            <w:pPr>
              <w:pStyle w:val="15"/>
            </w:pPr>
            <w:r>
              <w:t>行政审批政务服务经费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主要用于支付水电冷气维修等运行费、第三方服务费、政务大厅智能提升等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1.目标内容1完成政务大厅的智能化提升</w:t>
            </w:r>
            <w:r>
              <w:tab/>
            </w:r>
            <w:r>
              <w:tab/>
            </w:r>
            <w:r>
              <w:tab/>
            </w:r>
            <w:r>
              <w:tab/>
            </w:r>
            <w:r>
              <w:tab/>
            </w:r>
            <w:r>
              <w:tab/>
            </w:r>
          </w:p>
          <w:p>
            <w:pPr>
              <w:pStyle w:val="15"/>
            </w:pPr>
            <w:r>
              <w:t>2.目标内容2保障政务服务大厅正常运转</w:t>
            </w:r>
            <w:r>
              <w:tab/>
            </w:r>
          </w:p>
          <w:p>
            <w:pPr>
              <w:pStyle w:val="15"/>
            </w:pPr>
            <w:r>
              <w:t>3.目标内容3保障提供完成审批业务的项目评审、审计服务、律师服务、印刷服务等第三方服务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完成各项工作任务</w:t>
            </w:r>
          </w:p>
        </w:tc>
        <w:tc>
          <w:tcPr>
            <w:tcW w:w="5386" w:type="dxa"/>
            <w:vAlign w:val="center"/>
          </w:tcPr>
          <w:p>
            <w:pPr>
              <w:pStyle w:val="15"/>
            </w:pPr>
            <w:r>
              <w:t>完成各项工作任务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保障各项工作任务的质量</w:t>
            </w:r>
          </w:p>
        </w:tc>
        <w:tc>
          <w:tcPr>
            <w:tcW w:w="5386" w:type="dxa"/>
            <w:vAlign w:val="center"/>
          </w:tcPr>
          <w:p>
            <w:pPr>
              <w:pStyle w:val="15"/>
            </w:pPr>
            <w:r>
              <w:t>保障各项工作任务的质量</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按时限要求完成各项工作任务</w:t>
            </w:r>
          </w:p>
        </w:tc>
        <w:tc>
          <w:tcPr>
            <w:tcW w:w="5386" w:type="dxa"/>
            <w:vAlign w:val="center"/>
          </w:tcPr>
          <w:p>
            <w:pPr>
              <w:pStyle w:val="15"/>
            </w:pPr>
            <w:r>
              <w:t>按时限要求完成各项工作任务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树立政府良好社会形象</w:t>
            </w:r>
          </w:p>
        </w:tc>
        <w:tc>
          <w:tcPr>
            <w:tcW w:w="5386" w:type="dxa"/>
            <w:vAlign w:val="center"/>
          </w:tcPr>
          <w:p>
            <w:pPr>
              <w:pStyle w:val="15"/>
            </w:pPr>
            <w:r>
              <w:t>树立政府良好社会形象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树立政府良好社会形象</w:t>
            </w:r>
          </w:p>
        </w:tc>
        <w:tc>
          <w:tcPr>
            <w:tcW w:w="5386" w:type="dxa"/>
            <w:vAlign w:val="center"/>
          </w:tcPr>
          <w:p>
            <w:pPr>
              <w:pStyle w:val="15"/>
            </w:pPr>
            <w:r>
              <w:t>树立政府良好社会形象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持续提供相关服务，树立政府良好形象</w:t>
            </w:r>
          </w:p>
        </w:tc>
        <w:tc>
          <w:tcPr>
            <w:tcW w:w="5386" w:type="dxa"/>
            <w:vAlign w:val="center"/>
          </w:tcPr>
          <w:p>
            <w:pPr>
              <w:pStyle w:val="15"/>
            </w:pPr>
            <w:r>
              <w:t>持续提供相关服务，树立政府良好形象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5386" w:type="dxa"/>
            <w:vAlign w:val="center"/>
          </w:tcPr>
          <w:p>
            <w:pPr>
              <w:pStyle w:val="15"/>
            </w:pPr>
            <w:r>
              <w:t>服务对象满意率</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224石家庄市长安区</w:t>
            </w:r>
            <w:r>
              <w:rPr>
                <w:b/>
                <w:bCs/>
              </w:rPr>
              <w:t>数据和</w:t>
            </w:r>
            <w:r>
              <w:rPr>
                <w:b w:val="0"/>
                <w:bCs w:val="0"/>
              </w:rPr>
              <w:t>政</w:t>
            </w:r>
            <w:r>
              <w:rPr>
                <w:b/>
                <w:bCs/>
              </w:rPr>
              <w:t>务服务局</w:t>
            </w:r>
          </w:p>
        </w:tc>
        <w:tc>
          <w:tcPr>
            <w:tcW w:w="8676" w:type="dxa"/>
            <w:gridSpan w:val="9"/>
            <w:tcBorders>
              <w:top w:val="single" w:color="FFFFFF" w:sz="6" w:space="0"/>
              <w:left w:val="single" w:color="FFFFFF" w:sz="6" w:space="0"/>
              <w:right w:val="single" w:color="FFFFFF" w:sz="6" w:space="0"/>
            </w:tcBorders>
            <w:vAlign w:val="center"/>
          </w:tcPr>
          <w:p>
            <w:pPr>
              <w:pStyle w:val="27"/>
            </w:pPr>
            <w:r>
              <w:rPr>
                <w:b/>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299.99</w:t>
            </w:r>
          </w:p>
        </w:tc>
        <w:tc>
          <w:tcPr>
            <w:tcW w:w="964" w:type="dxa"/>
            <w:vAlign w:val="center"/>
          </w:tcPr>
          <w:p>
            <w:pPr>
              <w:pStyle w:val="18"/>
            </w:pPr>
            <w:r>
              <w:t>299.99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tcPr>
          <w:p>
            <w:pPr>
              <w:pStyle w:val="18"/>
            </w:pPr>
            <w:r>
              <w:t>299.99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石家庄市长安区数据和政务服务局机关本级小计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299.99</w:t>
            </w:r>
          </w:p>
        </w:tc>
        <w:tc>
          <w:tcPr>
            <w:tcW w:w="964" w:type="dxa"/>
            <w:vAlign w:val="center"/>
          </w:tcPr>
          <w:p>
            <w:pPr>
              <w:pStyle w:val="18"/>
            </w:pPr>
            <w:r>
              <w:t>299.99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tcPr>
          <w:p>
            <w:pPr>
              <w:pStyle w:val="18"/>
            </w:pPr>
            <w:r>
              <w:t>299.99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办公椅</w:t>
            </w:r>
          </w:p>
        </w:tc>
        <w:tc>
          <w:tcPr>
            <w:tcW w:w="1134" w:type="dxa"/>
            <w:vAlign w:val="center"/>
          </w:tcPr>
          <w:p>
            <w:pPr>
              <w:pStyle w:val="15"/>
            </w:pPr>
            <w:r>
              <w:t>A05010301</w:t>
            </w:r>
          </w:p>
        </w:tc>
        <w:tc>
          <w:tcPr>
            <w:tcW w:w="709" w:type="dxa"/>
            <w:vAlign w:val="center"/>
          </w:tcPr>
          <w:p>
            <w:pPr>
              <w:pStyle w:val="16"/>
            </w:pPr>
            <w:r>
              <w:t>件</w:t>
            </w:r>
          </w:p>
        </w:tc>
        <w:tc>
          <w:tcPr>
            <w:tcW w:w="850" w:type="dxa"/>
            <w:vAlign w:val="center"/>
          </w:tcPr>
          <w:p>
            <w:pPr>
              <w:pStyle w:val="14"/>
            </w:pPr>
            <w:r>
              <w:t>6</w:t>
            </w:r>
          </w:p>
        </w:tc>
        <w:tc>
          <w:tcPr>
            <w:tcW w:w="850" w:type="dxa"/>
            <w:vAlign w:val="center"/>
          </w:tcPr>
          <w:p>
            <w:pPr>
              <w:pStyle w:val="14"/>
            </w:pPr>
            <w:r>
              <w:t>0.08</w:t>
            </w:r>
          </w:p>
        </w:tc>
        <w:tc>
          <w:tcPr>
            <w:tcW w:w="964" w:type="dxa"/>
            <w:vAlign w:val="center"/>
          </w:tcPr>
          <w:p>
            <w:pPr>
              <w:pStyle w:val="14"/>
            </w:pPr>
            <w:r>
              <w:t>0.48</w:t>
            </w:r>
          </w:p>
        </w:tc>
        <w:tc>
          <w:tcPr>
            <w:tcW w:w="964" w:type="dxa"/>
            <w:vAlign w:val="center"/>
          </w:tcPr>
          <w:p>
            <w:pPr>
              <w:pStyle w:val="14"/>
            </w:pPr>
            <w:r>
              <w:t>0.48</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2.00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其他硒鼓、粉盒</w:t>
            </w:r>
          </w:p>
        </w:tc>
        <w:tc>
          <w:tcPr>
            <w:tcW w:w="1134" w:type="dxa"/>
            <w:vAlign w:val="center"/>
          </w:tcPr>
          <w:p>
            <w:pPr>
              <w:pStyle w:val="15"/>
            </w:pPr>
            <w:r>
              <w:t>A05040299</w:t>
            </w:r>
          </w:p>
        </w:tc>
        <w:tc>
          <w:tcPr>
            <w:tcW w:w="709" w:type="dxa"/>
            <w:vAlign w:val="center"/>
          </w:tcPr>
          <w:p>
            <w:pPr>
              <w:pStyle w:val="16"/>
            </w:pPr>
            <w:r>
              <w:t>件</w:t>
            </w:r>
          </w:p>
        </w:tc>
        <w:tc>
          <w:tcPr>
            <w:tcW w:w="850" w:type="dxa"/>
            <w:vAlign w:val="center"/>
          </w:tcPr>
          <w:p>
            <w:pPr>
              <w:pStyle w:val="14"/>
            </w:pPr>
            <w:r>
              <w:t>1</w:t>
            </w:r>
          </w:p>
        </w:tc>
        <w:tc>
          <w:tcPr>
            <w:tcW w:w="850" w:type="dxa"/>
            <w:vAlign w:val="center"/>
          </w:tcPr>
          <w:p>
            <w:pPr>
              <w:pStyle w:val="14"/>
            </w:pPr>
            <w:r>
              <w:t>1.83</w:t>
            </w:r>
          </w:p>
        </w:tc>
        <w:tc>
          <w:tcPr>
            <w:tcW w:w="964" w:type="dxa"/>
            <w:vAlign w:val="center"/>
          </w:tcPr>
          <w:p>
            <w:pPr>
              <w:pStyle w:val="14"/>
            </w:pPr>
            <w:r>
              <w:t>1.83</w:t>
            </w:r>
          </w:p>
        </w:tc>
        <w:tc>
          <w:tcPr>
            <w:tcW w:w="964" w:type="dxa"/>
            <w:vAlign w:val="center"/>
          </w:tcPr>
          <w:p>
            <w:pPr>
              <w:pStyle w:val="14"/>
            </w:pPr>
            <w:r>
              <w:t>1.83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件</w:t>
            </w:r>
          </w:p>
        </w:tc>
        <w:tc>
          <w:tcPr>
            <w:tcW w:w="850" w:type="dxa"/>
            <w:vAlign w:val="center"/>
          </w:tcPr>
          <w:p>
            <w:pPr>
              <w:pStyle w:val="14"/>
            </w:pPr>
            <w:r>
              <w:t>1</w:t>
            </w:r>
          </w:p>
        </w:tc>
        <w:tc>
          <w:tcPr>
            <w:tcW w:w="850" w:type="dxa"/>
            <w:vAlign w:val="center"/>
          </w:tcPr>
          <w:p>
            <w:pPr>
              <w:pStyle w:val="14"/>
            </w:pPr>
            <w:r>
              <w:t>2.00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基础电信服务</w:t>
            </w:r>
          </w:p>
        </w:tc>
        <w:tc>
          <w:tcPr>
            <w:tcW w:w="1134" w:type="dxa"/>
            <w:vAlign w:val="center"/>
          </w:tcPr>
          <w:p>
            <w:pPr>
              <w:pStyle w:val="15"/>
            </w:pPr>
            <w:r>
              <w:t>C17010100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23.00</w:t>
            </w:r>
          </w:p>
        </w:tc>
        <w:tc>
          <w:tcPr>
            <w:tcW w:w="964" w:type="dxa"/>
            <w:vAlign w:val="center"/>
          </w:tcPr>
          <w:p>
            <w:pPr>
              <w:pStyle w:val="14"/>
            </w:pPr>
            <w:r>
              <w:t>23.00</w:t>
            </w:r>
          </w:p>
        </w:tc>
        <w:tc>
          <w:tcPr>
            <w:tcW w:w="964" w:type="dxa"/>
            <w:vAlign w:val="center"/>
          </w:tcPr>
          <w:p>
            <w:pPr>
              <w:pStyle w:val="14"/>
            </w:pPr>
            <w:r>
              <w:t>23.00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财产保险服务</w:t>
            </w:r>
          </w:p>
        </w:tc>
        <w:tc>
          <w:tcPr>
            <w:tcW w:w="1134" w:type="dxa"/>
            <w:vAlign w:val="center"/>
          </w:tcPr>
          <w:p>
            <w:pPr>
              <w:pStyle w:val="15"/>
            </w:pPr>
            <w:r>
              <w:t>C18040102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0.42</w:t>
            </w:r>
          </w:p>
        </w:tc>
        <w:tc>
          <w:tcPr>
            <w:tcW w:w="964" w:type="dxa"/>
            <w:vAlign w:val="center"/>
          </w:tcPr>
          <w:p>
            <w:pPr>
              <w:pStyle w:val="14"/>
            </w:pPr>
            <w:r>
              <w:t>0.42</w:t>
            </w:r>
          </w:p>
        </w:tc>
        <w:tc>
          <w:tcPr>
            <w:tcW w:w="964" w:type="dxa"/>
            <w:vAlign w:val="center"/>
          </w:tcPr>
          <w:p>
            <w:pPr>
              <w:pStyle w:val="14"/>
            </w:pPr>
            <w:r>
              <w:t>0.42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1.20</w:t>
            </w:r>
          </w:p>
        </w:tc>
        <w:tc>
          <w:tcPr>
            <w:tcW w:w="964" w:type="dxa"/>
            <w:vAlign w:val="center"/>
          </w:tcPr>
          <w:p>
            <w:pPr>
              <w:pStyle w:val="14"/>
            </w:pPr>
            <w:r>
              <w:t>1.20</w:t>
            </w:r>
          </w:p>
        </w:tc>
        <w:tc>
          <w:tcPr>
            <w:tcW w:w="964" w:type="dxa"/>
            <w:vAlign w:val="center"/>
          </w:tcPr>
          <w:p>
            <w:pPr>
              <w:pStyle w:val="14"/>
            </w:pPr>
            <w:r>
              <w:t>1.20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车辆加油、添加燃料服务</w:t>
            </w:r>
          </w:p>
        </w:tc>
        <w:tc>
          <w:tcPr>
            <w:tcW w:w="1134" w:type="dxa"/>
            <w:vAlign w:val="center"/>
          </w:tcPr>
          <w:p>
            <w:pPr>
              <w:pStyle w:val="15"/>
            </w:pPr>
            <w:r>
              <w:t>C23120302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2.50</w:t>
            </w:r>
          </w:p>
        </w:tc>
        <w:tc>
          <w:tcPr>
            <w:tcW w:w="964" w:type="dxa"/>
            <w:vAlign w:val="center"/>
          </w:tcPr>
          <w:p>
            <w:pPr>
              <w:pStyle w:val="14"/>
            </w:pPr>
            <w:r>
              <w:t>2.50</w:t>
            </w:r>
          </w:p>
        </w:tc>
        <w:tc>
          <w:tcPr>
            <w:tcW w:w="964" w:type="dxa"/>
            <w:vAlign w:val="center"/>
          </w:tcPr>
          <w:p>
            <w:pPr>
              <w:pStyle w:val="14"/>
            </w:pPr>
            <w:r>
              <w:t>2.50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其他清洁用品</w:t>
            </w:r>
          </w:p>
        </w:tc>
        <w:tc>
          <w:tcPr>
            <w:tcW w:w="1134" w:type="dxa"/>
            <w:vAlign w:val="center"/>
          </w:tcPr>
          <w:p>
            <w:pPr>
              <w:pStyle w:val="15"/>
            </w:pPr>
            <w:r>
              <w:t>A05040599</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0.50</w:t>
            </w:r>
          </w:p>
        </w:tc>
        <w:tc>
          <w:tcPr>
            <w:tcW w:w="964" w:type="dxa"/>
            <w:vAlign w:val="center"/>
          </w:tcPr>
          <w:p>
            <w:pPr>
              <w:pStyle w:val="14"/>
            </w:pPr>
            <w:r>
              <w:t>0.50</w:t>
            </w: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4.14</w:t>
            </w:r>
          </w:p>
        </w:tc>
        <w:tc>
          <w:tcPr>
            <w:tcW w:w="964" w:type="dxa"/>
            <w:vAlign w:val="center"/>
          </w:tcPr>
          <w:p>
            <w:pPr>
              <w:pStyle w:val="14"/>
            </w:pPr>
            <w:r>
              <w:t>4.14</w:t>
            </w:r>
          </w:p>
        </w:tc>
        <w:tc>
          <w:tcPr>
            <w:tcW w:w="964" w:type="dxa"/>
            <w:vAlign w:val="center"/>
          </w:tcPr>
          <w:p>
            <w:pPr>
              <w:pStyle w:val="14"/>
            </w:pPr>
            <w:r>
              <w:t>4.14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食堂保安保洁经费</w:t>
            </w:r>
          </w:p>
        </w:tc>
        <w:tc>
          <w:tcPr>
            <w:tcW w:w="964" w:type="dxa"/>
            <w:vAlign w:val="center"/>
          </w:tcPr>
          <w:p>
            <w:pPr>
              <w:pStyle w:val="14"/>
            </w:pPr>
            <w:r>
              <w:t>92.36</w:t>
            </w:r>
          </w:p>
        </w:tc>
        <w:tc>
          <w:tcPr>
            <w:tcW w:w="1134" w:type="dxa"/>
            <w:vAlign w:val="center"/>
          </w:tcPr>
          <w:p>
            <w:pPr>
              <w:pStyle w:val="15"/>
            </w:pPr>
            <w:r>
              <w:t>保安服务</w:t>
            </w:r>
          </w:p>
        </w:tc>
        <w:tc>
          <w:tcPr>
            <w:tcW w:w="1134" w:type="dxa"/>
            <w:vAlign w:val="center"/>
          </w:tcPr>
          <w:p>
            <w:pPr>
              <w:pStyle w:val="15"/>
            </w:pPr>
            <w:r>
              <w:t>C05040300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28.80</w:t>
            </w:r>
          </w:p>
        </w:tc>
        <w:tc>
          <w:tcPr>
            <w:tcW w:w="964" w:type="dxa"/>
            <w:vAlign w:val="center"/>
          </w:tcPr>
          <w:p>
            <w:pPr>
              <w:pStyle w:val="14"/>
            </w:pPr>
            <w:r>
              <w:t>28.80</w:t>
            </w:r>
          </w:p>
        </w:tc>
        <w:tc>
          <w:tcPr>
            <w:tcW w:w="964" w:type="dxa"/>
            <w:vAlign w:val="center"/>
          </w:tcPr>
          <w:p>
            <w:pPr>
              <w:pStyle w:val="14"/>
            </w:pPr>
            <w:r>
              <w:t>28.80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食堂保安保洁经费</w:t>
            </w:r>
          </w:p>
        </w:tc>
        <w:tc>
          <w:tcPr>
            <w:tcW w:w="964" w:type="dxa"/>
            <w:vAlign w:val="center"/>
          </w:tcPr>
          <w:p>
            <w:pPr>
              <w:pStyle w:val="14"/>
            </w:pPr>
            <w:r>
              <w:t>92.36</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14.40</w:t>
            </w:r>
          </w:p>
        </w:tc>
        <w:tc>
          <w:tcPr>
            <w:tcW w:w="964" w:type="dxa"/>
            <w:vAlign w:val="center"/>
          </w:tcPr>
          <w:p>
            <w:pPr>
              <w:pStyle w:val="14"/>
            </w:pPr>
            <w:r>
              <w:t>14.40</w:t>
            </w:r>
          </w:p>
        </w:tc>
        <w:tc>
          <w:tcPr>
            <w:tcW w:w="964" w:type="dxa"/>
            <w:vAlign w:val="center"/>
          </w:tcPr>
          <w:p>
            <w:pPr>
              <w:pStyle w:val="14"/>
            </w:pPr>
            <w:r>
              <w:t>14.40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其他网络设备</w:t>
            </w:r>
          </w:p>
        </w:tc>
        <w:tc>
          <w:tcPr>
            <w:tcW w:w="1134" w:type="dxa"/>
            <w:vAlign w:val="center"/>
          </w:tcPr>
          <w:p>
            <w:pPr>
              <w:pStyle w:val="15"/>
            </w:pPr>
            <w:r>
              <w:t>A02010299</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9.00</w:t>
            </w:r>
          </w:p>
        </w:tc>
        <w:tc>
          <w:tcPr>
            <w:tcW w:w="964" w:type="dxa"/>
            <w:vAlign w:val="center"/>
          </w:tcPr>
          <w:p>
            <w:pPr>
              <w:pStyle w:val="14"/>
            </w:pPr>
            <w:r>
              <w:t>9.00</w:t>
            </w:r>
          </w:p>
        </w:tc>
        <w:tc>
          <w:tcPr>
            <w:tcW w:w="964" w:type="dxa"/>
            <w:vAlign w:val="center"/>
          </w:tcPr>
          <w:p>
            <w:pPr>
              <w:pStyle w:val="14"/>
            </w:pPr>
            <w:r>
              <w:t>9.00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办公椅</w:t>
            </w:r>
          </w:p>
        </w:tc>
        <w:tc>
          <w:tcPr>
            <w:tcW w:w="1134" w:type="dxa"/>
            <w:vAlign w:val="center"/>
          </w:tcPr>
          <w:p>
            <w:pPr>
              <w:pStyle w:val="15"/>
            </w:pPr>
            <w:r>
              <w:t>A05010301</w:t>
            </w:r>
          </w:p>
        </w:tc>
        <w:tc>
          <w:tcPr>
            <w:tcW w:w="709" w:type="dxa"/>
            <w:vAlign w:val="center"/>
          </w:tcPr>
          <w:p>
            <w:pPr>
              <w:pStyle w:val="16"/>
            </w:pPr>
            <w:r>
              <w:t>个</w:t>
            </w:r>
          </w:p>
        </w:tc>
        <w:tc>
          <w:tcPr>
            <w:tcW w:w="850" w:type="dxa"/>
            <w:vAlign w:val="center"/>
          </w:tcPr>
          <w:p>
            <w:pPr>
              <w:pStyle w:val="14"/>
            </w:pPr>
            <w:r>
              <w:t>6</w:t>
            </w:r>
          </w:p>
        </w:tc>
        <w:tc>
          <w:tcPr>
            <w:tcW w:w="850" w:type="dxa"/>
            <w:vAlign w:val="center"/>
          </w:tcPr>
          <w:p>
            <w:pPr>
              <w:pStyle w:val="14"/>
            </w:pPr>
            <w:r>
              <w:t>0.07</w:t>
            </w:r>
          </w:p>
        </w:tc>
        <w:tc>
          <w:tcPr>
            <w:tcW w:w="964" w:type="dxa"/>
            <w:vAlign w:val="center"/>
          </w:tcPr>
          <w:p>
            <w:pPr>
              <w:pStyle w:val="14"/>
            </w:pPr>
            <w:r>
              <w:t>0.42</w:t>
            </w:r>
          </w:p>
        </w:tc>
        <w:tc>
          <w:tcPr>
            <w:tcW w:w="964" w:type="dxa"/>
            <w:vAlign w:val="center"/>
          </w:tcPr>
          <w:p>
            <w:pPr>
              <w:pStyle w:val="14"/>
            </w:pPr>
            <w:r>
              <w:t>0.42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其他椅凳类</w:t>
            </w:r>
          </w:p>
        </w:tc>
        <w:tc>
          <w:tcPr>
            <w:tcW w:w="1134" w:type="dxa"/>
            <w:vAlign w:val="center"/>
          </w:tcPr>
          <w:p>
            <w:pPr>
              <w:pStyle w:val="15"/>
            </w:pPr>
            <w:r>
              <w:t>A05010399</w:t>
            </w:r>
          </w:p>
        </w:tc>
        <w:tc>
          <w:tcPr>
            <w:tcW w:w="709" w:type="dxa"/>
            <w:vAlign w:val="center"/>
          </w:tcPr>
          <w:p>
            <w:pPr>
              <w:pStyle w:val="16"/>
            </w:pPr>
            <w:r>
              <w:t>个</w:t>
            </w:r>
          </w:p>
        </w:tc>
        <w:tc>
          <w:tcPr>
            <w:tcW w:w="850" w:type="dxa"/>
            <w:vAlign w:val="center"/>
          </w:tcPr>
          <w:p>
            <w:pPr>
              <w:pStyle w:val="14"/>
            </w:pPr>
            <w:r>
              <w:t>30</w:t>
            </w:r>
          </w:p>
        </w:tc>
        <w:tc>
          <w:tcPr>
            <w:tcW w:w="850" w:type="dxa"/>
            <w:vAlign w:val="center"/>
          </w:tcPr>
          <w:p>
            <w:pPr>
              <w:pStyle w:val="14"/>
            </w:pPr>
            <w:r>
              <w:t>0.01</w:t>
            </w:r>
          </w:p>
        </w:tc>
        <w:tc>
          <w:tcPr>
            <w:tcW w:w="964" w:type="dxa"/>
            <w:vAlign w:val="center"/>
          </w:tcPr>
          <w:p>
            <w:pPr>
              <w:pStyle w:val="14"/>
            </w:pPr>
            <w:r>
              <w:t>0.30</w:t>
            </w:r>
          </w:p>
        </w:tc>
        <w:tc>
          <w:tcPr>
            <w:tcW w:w="964" w:type="dxa"/>
            <w:vAlign w:val="center"/>
          </w:tcPr>
          <w:p>
            <w:pPr>
              <w:pStyle w:val="14"/>
            </w:pPr>
            <w:r>
              <w:t>0.30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普通服装</w:t>
            </w:r>
          </w:p>
        </w:tc>
        <w:tc>
          <w:tcPr>
            <w:tcW w:w="1134" w:type="dxa"/>
            <w:vAlign w:val="center"/>
          </w:tcPr>
          <w:p>
            <w:pPr>
              <w:pStyle w:val="15"/>
            </w:pPr>
            <w:r>
              <w:t>A05030303</w:t>
            </w:r>
          </w:p>
        </w:tc>
        <w:tc>
          <w:tcPr>
            <w:tcW w:w="709" w:type="dxa"/>
            <w:vAlign w:val="center"/>
          </w:tcPr>
          <w:p>
            <w:pPr>
              <w:pStyle w:val="16"/>
            </w:pPr>
            <w:r>
              <w:t>批</w:t>
            </w:r>
          </w:p>
        </w:tc>
        <w:tc>
          <w:tcPr>
            <w:tcW w:w="850" w:type="dxa"/>
            <w:vAlign w:val="center"/>
          </w:tcPr>
          <w:p>
            <w:pPr>
              <w:pStyle w:val="14"/>
            </w:pPr>
            <w:r>
              <w:t>2</w:t>
            </w:r>
          </w:p>
        </w:tc>
        <w:tc>
          <w:tcPr>
            <w:tcW w:w="850" w:type="dxa"/>
            <w:vAlign w:val="center"/>
          </w:tcPr>
          <w:p>
            <w:pPr>
              <w:pStyle w:val="14"/>
            </w:pPr>
            <w:r>
              <w:t>0.20</w:t>
            </w:r>
          </w:p>
        </w:tc>
        <w:tc>
          <w:tcPr>
            <w:tcW w:w="964" w:type="dxa"/>
            <w:vAlign w:val="center"/>
          </w:tcPr>
          <w:p>
            <w:pPr>
              <w:pStyle w:val="14"/>
            </w:pPr>
            <w:r>
              <w:t>0.40</w:t>
            </w:r>
          </w:p>
        </w:tc>
        <w:tc>
          <w:tcPr>
            <w:tcW w:w="964" w:type="dxa"/>
            <w:vAlign w:val="center"/>
          </w:tcPr>
          <w:p>
            <w:pPr>
              <w:pStyle w:val="14"/>
            </w:pPr>
            <w:r>
              <w:t>0.40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箱</w:t>
            </w:r>
          </w:p>
        </w:tc>
        <w:tc>
          <w:tcPr>
            <w:tcW w:w="850" w:type="dxa"/>
            <w:vAlign w:val="center"/>
          </w:tcPr>
          <w:p>
            <w:pPr>
              <w:pStyle w:val="14"/>
            </w:pPr>
            <w:r>
              <w:t>200</w:t>
            </w:r>
          </w:p>
        </w:tc>
        <w:tc>
          <w:tcPr>
            <w:tcW w:w="850" w:type="dxa"/>
            <w:vAlign w:val="center"/>
          </w:tcPr>
          <w:p>
            <w:pPr>
              <w:pStyle w:val="14"/>
            </w:pPr>
            <w:r>
              <w:t>0.02</w:t>
            </w:r>
          </w:p>
        </w:tc>
        <w:tc>
          <w:tcPr>
            <w:tcW w:w="964" w:type="dxa"/>
            <w:vAlign w:val="center"/>
          </w:tcPr>
          <w:p>
            <w:pPr>
              <w:pStyle w:val="14"/>
            </w:pPr>
            <w:r>
              <w:t>4.00</w:t>
            </w:r>
          </w:p>
        </w:tc>
        <w:tc>
          <w:tcPr>
            <w:tcW w:w="964" w:type="dxa"/>
            <w:vAlign w:val="center"/>
          </w:tcPr>
          <w:p>
            <w:pPr>
              <w:pStyle w:val="14"/>
            </w:pPr>
            <w:r>
              <w:t>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消毒杀菌用品</w:t>
            </w:r>
          </w:p>
        </w:tc>
        <w:tc>
          <w:tcPr>
            <w:tcW w:w="1134" w:type="dxa"/>
            <w:vAlign w:val="center"/>
          </w:tcPr>
          <w:p>
            <w:pPr>
              <w:pStyle w:val="15"/>
            </w:pPr>
            <w:r>
              <w:t>A05040502</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0.60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应用软件</w:t>
            </w:r>
          </w:p>
        </w:tc>
        <w:tc>
          <w:tcPr>
            <w:tcW w:w="1134" w:type="dxa"/>
            <w:vAlign w:val="center"/>
          </w:tcPr>
          <w:p>
            <w:pPr>
              <w:pStyle w:val="15"/>
            </w:pPr>
            <w:r>
              <w:t>A08060303</w:t>
            </w:r>
          </w:p>
        </w:tc>
        <w:tc>
          <w:tcPr>
            <w:tcW w:w="709" w:type="dxa"/>
            <w:vAlign w:val="center"/>
          </w:tcPr>
          <w:p>
            <w:pPr>
              <w:pStyle w:val="16"/>
            </w:pPr>
            <w:r>
              <w:t>个</w:t>
            </w:r>
          </w:p>
        </w:tc>
        <w:tc>
          <w:tcPr>
            <w:tcW w:w="850" w:type="dxa"/>
            <w:vAlign w:val="center"/>
          </w:tcPr>
          <w:p>
            <w:pPr>
              <w:pStyle w:val="14"/>
            </w:pPr>
            <w:r>
              <w:t>5</w:t>
            </w:r>
          </w:p>
        </w:tc>
        <w:tc>
          <w:tcPr>
            <w:tcW w:w="850" w:type="dxa"/>
            <w:vAlign w:val="center"/>
          </w:tcPr>
          <w:p>
            <w:pPr>
              <w:pStyle w:val="14"/>
            </w:pPr>
            <w:r>
              <w:t>2.40</w:t>
            </w:r>
          </w:p>
        </w:tc>
        <w:tc>
          <w:tcPr>
            <w:tcW w:w="964" w:type="dxa"/>
            <w:vAlign w:val="center"/>
          </w:tcPr>
          <w:p>
            <w:pPr>
              <w:pStyle w:val="14"/>
            </w:pPr>
            <w:r>
              <w:t>12.00</w:t>
            </w:r>
          </w:p>
        </w:tc>
        <w:tc>
          <w:tcPr>
            <w:tcW w:w="964" w:type="dxa"/>
            <w:vAlign w:val="center"/>
          </w:tcPr>
          <w:p>
            <w:pPr>
              <w:pStyle w:val="14"/>
            </w:pPr>
            <w:r>
              <w:t>12.00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单证印刷服务</w:t>
            </w:r>
          </w:p>
        </w:tc>
        <w:tc>
          <w:tcPr>
            <w:tcW w:w="1134" w:type="dxa"/>
            <w:vAlign w:val="center"/>
          </w:tcPr>
          <w:p>
            <w:pPr>
              <w:pStyle w:val="15"/>
            </w:pPr>
            <w:r>
              <w:t>C23090101</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2.00</w:t>
            </w:r>
          </w:p>
        </w:tc>
        <w:tc>
          <w:tcPr>
            <w:tcW w:w="964" w:type="dxa"/>
            <w:vAlign w:val="center"/>
          </w:tcPr>
          <w:p>
            <w:pPr>
              <w:pStyle w:val="14"/>
            </w:pPr>
            <w:r>
              <w:t>20.00</w:t>
            </w:r>
          </w:p>
        </w:tc>
        <w:tc>
          <w:tcPr>
            <w:tcW w:w="964" w:type="dxa"/>
            <w:vAlign w:val="center"/>
          </w:tcPr>
          <w:p>
            <w:pPr>
              <w:pStyle w:val="14"/>
            </w:pPr>
            <w:r>
              <w:t>20.00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其他商务服务</w:t>
            </w:r>
          </w:p>
        </w:tc>
        <w:tc>
          <w:tcPr>
            <w:tcW w:w="1134" w:type="dxa"/>
            <w:vAlign w:val="center"/>
          </w:tcPr>
          <w:p>
            <w:pPr>
              <w:pStyle w:val="15"/>
            </w:pPr>
            <w:r>
              <w:t>C23990000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170.00</w:t>
            </w:r>
          </w:p>
        </w:tc>
        <w:tc>
          <w:tcPr>
            <w:tcW w:w="964" w:type="dxa"/>
            <w:vAlign w:val="center"/>
          </w:tcPr>
          <w:p>
            <w:pPr>
              <w:pStyle w:val="14"/>
            </w:pPr>
            <w:r>
              <w:t>170.00</w:t>
            </w:r>
          </w:p>
        </w:tc>
        <w:tc>
          <w:tcPr>
            <w:tcW w:w="964" w:type="dxa"/>
            <w:vAlign w:val="center"/>
          </w:tcPr>
          <w:p>
            <w:pPr>
              <w:pStyle w:val="14"/>
            </w:pPr>
            <w:r>
              <w:t>170.00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tcPr>
          <w:p>
            <w:pPr>
              <w:pStyle w:val="14"/>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石家庄市长安区数据和政务服务局（含所属单位）上年末固定资产金额为</w:t>
      </w:r>
      <w:r>
        <w:rPr>
          <w:rFonts w:hint="eastAsia" w:asciiTheme="minorEastAsia" w:hAnsiTheme="minorEastAsia" w:eastAsiaTheme="minorEastAsia" w:cstheme="minorEastAsia"/>
          <w:b w:val="0"/>
          <w:color w:val="000000"/>
          <w:sz w:val="28"/>
          <w:lang w:val="en-US" w:eastAsia="zh-CN"/>
        </w:rPr>
        <w:t>381.83</w:t>
      </w:r>
      <w:r>
        <w:rPr>
          <w:rFonts w:hint="eastAsia" w:asciiTheme="minorEastAsia" w:hAnsiTheme="minorEastAsia" w:eastAsiaTheme="minorEastAsia" w:cstheme="minorEastAsia"/>
          <w:b w:val="0"/>
          <w:color w:val="000000"/>
          <w:sz w:val="28"/>
        </w:rPr>
        <w:t>万元（详见下表）。本年度拟购置固定资产总额为1.20万元，已按要求列入政府采购预算，详见政府采购预算表。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224石家庄市长安区</w:t>
            </w:r>
            <w:r>
              <w:rPr>
                <w:b/>
                <w:bCs/>
              </w:rPr>
              <w:t>数据和</w:t>
            </w:r>
            <w:r>
              <w:t>政</w:t>
            </w:r>
            <w:r>
              <w:rPr>
                <w:b/>
                <w:bCs/>
              </w:rPr>
              <w:t>务服务局</w:t>
            </w:r>
          </w:p>
        </w:tc>
        <w:tc>
          <w:tcPr>
            <w:tcW w:w="5670" w:type="dxa"/>
            <w:gridSpan w:val="2"/>
            <w:tcBorders>
              <w:top w:val="single" w:color="FFFFFF" w:sz="6" w:space="0"/>
              <w:left w:val="single" w:color="FFFFFF" w:sz="6" w:space="0"/>
              <w:right w:val="single" w:color="FFFFFF" w:sz="6" w:space="0"/>
            </w:tcBorders>
            <w:vAlign w:val="center"/>
          </w:tcPr>
          <w:p>
            <w:pPr>
              <w:pStyle w:val="10"/>
            </w:pPr>
            <w:r>
              <w:rPr>
                <w:b/>
                <w:bCs/>
              </w:rPr>
              <w:t>截止时间</w:t>
            </w:r>
            <w:r>
              <w:t>：2025-12-31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rPr>
                <w:rFonts w:hint="default" w:eastAsia="方正书宋_GBK"/>
                <w:lang w:val="en-US" w:eastAsia="zh-CN"/>
              </w:rPr>
            </w:pPr>
            <w:r>
              <w:rPr>
                <w:rFonts w:hint="eastAsia"/>
                <w:lang w:val="en-US" w:eastAsia="zh-CN"/>
              </w:rPr>
              <w:t>1789</w:t>
            </w:r>
          </w:p>
        </w:tc>
        <w:tc>
          <w:tcPr>
            <w:tcW w:w="2835" w:type="dxa"/>
            <w:vAlign w:val="center"/>
          </w:tcPr>
          <w:p>
            <w:pPr>
              <w:pStyle w:val="14"/>
              <w:rPr>
                <w:rFonts w:hint="default" w:eastAsia="方正书宋_GBK"/>
                <w:lang w:val="en-US" w:eastAsia="zh-CN"/>
              </w:rPr>
            </w:pPr>
            <w:r>
              <w:rPr>
                <w:rFonts w:hint="eastAsia"/>
                <w:lang w:val="en-US" w:eastAsia="zh-CN"/>
              </w:rPr>
              <w:t>381.83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rPr>
                <w:rFonts w:hint="eastAsia" w:eastAsia="方正书宋_GBK"/>
                <w:lang w:val="en-US" w:eastAsia="zh-CN"/>
              </w:rPr>
            </w:pPr>
            <w:r>
              <w:rPr>
                <w:rFonts w:hint="eastAsia"/>
                <w:lang w:val="en-US" w:eastAsia="zh-CN"/>
              </w:rPr>
              <w:t>1</w:t>
            </w:r>
          </w:p>
        </w:tc>
        <w:tc>
          <w:tcPr>
            <w:tcW w:w="2835" w:type="dxa"/>
            <w:vAlign w:val="center"/>
          </w:tcPr>
          <w:p>
            <w:pPr>
              <w:pStyle w:val="14"/>
              <w:rPr>
                <w:rFonts w:hint="default" w:eastAsia="方正书宋_GBK"/>
                <w:lang w:val="en-US" w:eastAsia="zh-CN"/>
              </w:rPr>
            </w:pPr>
            <w:r>
              <w:rPr>
                <w:rFonts w:hint="eastAsia"/>
                <w:lang w:val="en-US" w:eastAsia="zh-CN"/>
              </w:rP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lang w:val="en-US" w:eastAsia="zh-CN"/>
              </w:rPr>
              <w:t>1788</w:t>
            </w:r>
          </w:p>
        </w:tc>
        <w:tc>
          <w:tcPr>
            <w:tcW w:w="2835" w:type="dxa"/>
            <w:vAlign w:val="center"/>
          </w:tcPr>
          <w:p>
            <w:pPr>
              <w:pStyle w:val="14"/>
              <w:rPr>
                <w:rFonts w:hint="default" w:eastAsia="方正书宋_GBK"/>
                <w:lang w:val="en-US" w:eastAsia="zh-CN"/>
              </w:rPr>
            </w:pPr>
            <w:r>
              <w:rPr>
                <w:rFonts w:hint="eastAsia"/>
                <w:lang w:val="en-US" w:eastAsia="zh-CN"/>
              </w:rPr>
              <w:t>368.23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1、</w:t>
      </w:r>
      <w:r>
        <w:rPr>
          <w:rFonts w:hint="eastAsia" w:asciiTheme="minorEastAsia" w:hAnsiTheme="minorEastAsia" w:eastAsiaTheme="minorEastAsia" w:cstheme="minorEastAsia"/>
          <w:b/>
          <w:color w:val="000000"/>
          <w:sz w:val="28"/>
        </w:rPr>
        <w:t>财政拨款收入：</w:t>
      </w:r>
      <w:r>
        <w:rPr>
          <w:rFonts w:hint="eastAsia" w:asciiTheme="minorEastAsia" w:hAnsiTheme="minorEastAsia" w:eastAsiaTheme="minorEastAsia" w:cstheme="minorEastAsia"/>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2、</w:t>
      </w:r>
      <w:r>
        <w:rPr>
          <w:rFonts w:hint="eastAsia" w:asciiTheme="minorEastAsia" w:hAnsiTheme="minorEastAsia" w:eastAsiaTheme="minorEastAsia" w:cstheme="minorEastAsia"/>
          <w:b/>
          <w:color w:val="000000"/>
          <w:sz w:val="28"/>
        </w:rPr>
        <w:t>财政专户管理资金收入：</w:t>
      </w:r>
      <w:r>
        <w:rPr>
          <w:rFonts w:hint="eastAsia" w:asciiTheme="minorEastAsia" w:hAnsiTheme="minorEastAsia" w:eastAsiaTheme="minorEastAsia" w:cstheme="minorEastAsia"/>
          <w:b w:val="0"/>
          <w:color w:val="000000"/>
          <w:sz w:val="28"/>
        </w:rPr>
        <w:t>缴入财政专户、实行专项管理的教育收费收入。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3、</w:t>
      </w:r>
      <w:r>
        <w:rPr>
          <w:rFonts w:hint="eastAsia" w:asciiTheme="minorEastAsia" w:hAnsiTheme="minorEastAsia" w:eastAsiaTheme="minorEastAsia" w:cstheme="minorEastAsia"/>
          <w:b/>
          <w:color w:val="000000"/>
          <w:sz w:val="28"/>
        </w:rPr>
        <w:t>单位资金收入：</w:t>
      </w:r>
      <w:r>
        <w:rPr>
          <w:rFonts w:hint="eastAsia" w:asciiTheme="minorEastAsia" w:hAnsiTheme="minorEastAsia" w:eastAsiaTheme="minorEastAsia" w:cstheme="minorEastAsia"/>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4、</w:t>
      </w:r>
      <w:r>
        <w:rPr>
          <w:rFonts w:hint="eastAsia" w:asciiTheme="minorEastAsia" w:hAnsiTheme="minorEastAsia" w:eastAsiaTheme="minorEastAsia" w:cstheme="minorEastAsia"/>
          <w:b/>
          <w:color w:val="000000"/>
          <w:sz w:val="28"/>
        </w:rPr>
        <w:t>事业收入：</w:t>
      </w:r>
      <w:r>
        <w:rPr>
          <w:rFonts w:hint="eastAsia" w:asciiTheme="minorEastAsia" w:hAnsiTheme="minorEastAsia" w:eastAsiaTheme="minorEastAsia" w:cstheme="minorEastAsia"/>
          <w:b w:val="0"/>
          <w:color w:val="000000"/>
          <w:sz w:val="28"/>
        </w:rPr>
        <w:t>指事业单位开展专业业务活动及辅助活动所取得的收入。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5、</w:t>
      </w:r>
      <w:r>
        <w:rPr>
          <w:rFonts w:hint="eastAsia" w:asciiTheme="minorEastAsia" w:hAnsiTheme="minorEastAsia" w:eastAsiaTheme="minorEastAsia" w:cstheme="minorEastAsia"/>
          <w:b/>
          <w:color w:val="000000"/>
          <w:sz w:val="28"/>
        </w:rPr>
        <w:t>事业单位经营收入：</w:t>
      </w:r>
      <w:r>
        <w:rPr>
          <w:rFonts w:hint="eastAsia" w:asciiTheme="minorEastAsia" w:hAnsiTheme="minorEastAsia" w:eastAsiaTheme="minorEastAsia" w:cstheme="minorEastAsia"/>
          <w:b w:val="0"/>
          <w:color w:val="000000"/>
          <w:sz w:val="28"/>
        </w:rPr>
        <w:t>指事业单位在专业业务活动及其辅助活动之外开展非独立核算经营活动取得的收入。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6、</w:t>
      </w:r>
      <w:r>
        <w:rPr>
          <w:rFonts w:hint="eastAsia" w:asciiTheme="minorEastAsia" w:hAnsiTheme="minorEastAsia" w:eastAsiaTheme="minorEastAsia" w:cstheme="minorEastAsia"/>
          <w:b/>
          <w:color w:val="000000"/>
          <w:sz w:val="28"/>
        </w:rPr>
        <w:t>上年结转：</w:t>
      </w:r>
      <w:r>
        <w:rPr>
          <w:rFonts w:hint="eastAsia" w:asciiTheme="minorEastAsia" w:hAnsiTheme="minorEastAsia" w:eastAsiaTheme="minorEastAsia" w:cstheme="minorEastAsia"/>
          <w:b w:val="0"/>
          <w:color w:val="000000"/>
          <w:sz w:val="28"/>
        </w:rPr>
        <w:t>指以前年度安排、结转到本年仍按原规定用途继续使用的资金。</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7、</w:t>
      </w:r>
      <w:r>
        <w:rPr>
          <w:rFonts w:hint="eastAsia" w:asciiTheme="minorEastAsia" w:hAnsiTheme="minorEastAsia" w:eastAsiaTheme="minorEastAsia" w:cstheme="minorEastAsia"/>
          <w:b/>
          <w:color w:val="000000"/>
          <w:sz w:val="28"/>
        </w:rPr>
        <w:t>部门预算支出：</w:t>
      </w:r>
      <w:r>
        <w:rPr>
          <w:rFonts w:hint="eastAsia" w:asciiTheme="minorEastAsia" w:hAnsiTheme="minorEastAsia" w:eastAsiaTheme="minorEastAsia" w:cstheme="minorEastAsia"/>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8、</w:t>
      </w:r>
      <w:r>
        <w:rPr>
          <w:rFonts w:hint="eastAsia" w:asciiTheme="minorEastAsia" w:hAnsiTheme="minorEastAsia" w:eastAsiaTheme="minorEastAsia" w:cstheme="minorEastAsia"/>
          <w:b/>
          <w:color w:val="000000"/>
          <w:sz w:val="28"/>
        </w:rPr>
        <w:t>事业单位经营支出：</w:t>
      </w:r>
      <w:r>
        <w:rPr>
          <w:rFonts w:hint="eastAsia" w:asciiTheme="minorEastAsia" w:hAnsiTheme="minorEastAsia" w:eastAsiaTheme="minorEastAsia" w:cstheme="minorEastAsia"/>
          <w:b w:val="0"/>
          <w:color w:val="000000"/>
          <w:sz w:val="28"/>
        </w:rPr>
        <w:t>指事业单位在专业业务活动及其辅助活动之外开展非独立核算经营活动发生的支出。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9、</w:t>
      </w:r>
      <w:r>
        <w:rPr>
          <w:rFonts w:hint="eastAsia" w:asciiTheme="minorEastAsia" w:hAnsiTheme="minorEastAsia" w:eastAsiaTheme="minorEastAsia" w:cstheme="minorEastAsia"/>
          <w:b/>
          <w:color w:val="000000"/>
          <w:sz w:val="28"/>
        </w:rPr>
        <w:t>“三公”经费：</w:t>
      </w:r>
      <w:r>
        <w:rPr>
          <w:rFonts w:hint="eastAsia" w:asciiTheme="minorEastAsia" w:hAnsiTheme="minorEastAsia" w:eastAsiaTheme="minorEastAsia" w:cstheme="minorEastAsia"/>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10、</w:t>
      </w:r>
      <w:r>
        <w:rPr>
          <w:rFonts w:hint="eastAsia" w:asciiTheme="minorEastAsia" w:hAnsiTheme="minorEastAsia" w:eastAsiaTheme="minorEastAsia" w:cstheme="minorEastAsia"/>
          <w:b/>
          <w:color w:val="000000"/>
          <w:sz w:val="28"/>
        </w:rPr>
        <w:t>机关运行经费：</w:t>
      </w:r>
      <w:r>
        <w:rPr>
          <w:rFonts w:hint="eastAsia" w:asciiTheme="minorEastAsia" w:hAnsiTheme="minorEastAsia" w:eastAsiaTheme="minorEastAsia" w:cstheme="minorEastAsia"/>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rFonts w:hint="eastAsia" w:asciiTheme="minorEastAsia" w:hAnsiTheme="minorEastAsia" w:eastAsiaTheme="minorEastAsia" w:cstheme="minorEastAsia"/>
        </w:rPr>
      </w:pPr>
      <w:bookmarkStart w:id="19" w:name="_Toc_3_3_0000000020"/>
      <w:r>
        <w:rPr>
          <w:rFonts w:hint="eastAsia" w:asciiTheme="minorEastAsia" w:hAnsiTheme="minorEastAsia" w:eastAsiaTheme="minorEastAsia" w:cstheme="minorEastAsia"/>
          <w:color w:val="000000"/>
          <w:sz w:val="32"/>
        </w:rPr>
        <w:t>十一、其他需要说明的事项</w:t>
      </w:r>
      <w:bookmarkEnd w:id="19"/>
    </w:p>
    <w:p>
      <w:pPr>
        <w:spacing w:before="0" w:after="0" w:line="500" w:lineRule="exact"/>
        <w:ind w:firstLine="560"/>
        <w:jc w:val="left"/>
        <w:outlineLvl w:val="9"/>
        <w:rPr>
          <w:rFonts w:hint="eastAsia" w:asciiTheme="minorEastAsia" w:hAnsiTheme="minorEastAsia" w:eastAsiaTheme="minorEastAsia" w:cstheme="minorEastAsia"/>
        </w:rPr>
        <w:sectPr>
          <w:pgSz w:w="16840" w:h="11900" w:orient="landscape"/>
          <w:pgMar w:top="1361" w:right="1020" w:bottom="1134" w:left="1020" w:header="720" w:footer="720" w:gutter="0"/>
        </w:sectPr>
      </w:pPr>
      <w:r>
        <w:rPr>
          <w:rFonts w:hint="eastAsia" w:asciiTheme="minorEastAsia" w:hAnsiTheme="minorEastAsia" w:eastAsiaTheme="minorEastAsia" w:cstheme="minorEastAsia"/>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w:t>
      </w:r>
      <w:r>
        <w:rPr>
          <w:rFonts w:ascii="方正小标宋_GBK" w:hAnsi="方正小标宋_GBK" w:eastAsia="方正小标宋_GBK" w:cs="方正小标宋_GBK"/>
          <w:b/>
          <w:bCs/>
          <w:color w:val="000000"/>
          <w:sz w:val="44"/>
        </w:rPr>
        <w:t>数据和</w:t>
      </w:r>
      <w:r>
        <w:rPr>
          <w:rFonts w:ascii="方正小标宋_GBK" w:hAnsi="方正小标宋_GBK" w:eastAsia="方正小标宋_GBK" w:cs="方正小标宋_GBK"/>
          <w:b w:val="0"/>
          <w:color w:val="000000"/>
          <w:sz w:val="44"/>
        </w:rPr>
        <w:t>政</w:t>
      </w:r>
      <w:r>
        <w:rPr>
          <w:rFonts w:ascii="方正小标宋_GBK" w:hAnsi="方正小标宋_GBK" w:eastAsia="方正小标宋_GBK" w:cs="方正小标宋_GBK"/>
          <w:b/>
          <w:bCs/>
          <w:color w:val="000000"/>
          <w:sz w:val="44"/>
        </w:rPr>
        <w:t>务服务局</w:t>
      </w:r>
      <w:r>
        <w:rPr>
          <w:rFonts w:ascii="方正小标宋_GBK" w:hAnsi="方正小标宋_GBK" w:eastAsia="方正小标宋_GBK" w:cs="方正小标宋_GBK"/>
          <w:b w:val="0"/>
          <w:color w:val="000000"/>
          <w:sz w:val="44"/>
        </w:rPr>
        <w:t>机</w:t>
      </w:r>
      <w:r>
        <w:rPr>
          <w:rFonts w:ascii="方正小标宋_GBK" w:hAnsi="方正小标宋_GBK" w:eastAsia="方正小标宋_GBK" w:cs="方正小标宋_GBK"/>
          <w:b/>
          <w:bCs/>
          <w:color w:val="000000"/>
          <w:sz w:val="44"/>
        </w:rPr>
        <w:t>关</w:t>
      </w:r>
      <w:r>
        <w:rPr>
          <w:rFonts w:ascii="方正小标宋_GBK" w:hAnsi="方正小标宋_GBK" w:eastAsia="方正小标宋_GBK" w:cs="方正小标宋_GBK"/>
          <w:b w:val="0"/>
          <w:color w:val="000000"/>
          <w:sz w:val="44"/>
        </w:rPr>
        <w:t>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224001石家庄市长安区</w:t>
            </w:r>
            <w:r>
              <w:rPr>
                <w:b/>
                <w:bCs/>
              </w:rPr>
              <w:t>数据和</w:t>
            </w:r>
            <w:r>
              <w:t>政</w:t>
            </w:r>
            <w:r>
              <w:rPr>
                <w:b/>
                <w:bCs/>
              </w:rPr>
              <w:t>务服务局</w:t>
            </w:r>
            <w:r>
              <w:t>机</w:t>
            </w:r>
            <w:r>
              <w:rPr>
                <w:b/>
                <w:bCs/>
              </w:rPr>
              <w:t>关</w:t>
            </w:r>
            <w:r>
              <w:t>本级</w:t>
            </w:r>
          </w:p>
        </w:tc>
        <w:tc>
          <w:tcPr>
            <w:tcW w:w="2126" w:type="dxa"/>
            <w:tcBorders>
              <w:top w:val="single" w:color="FFFFFF" w:sz="6" w:space="0"/>
              <w:left w:val="single" w:color="FFFFFF" w:sz="6" w:space="0"/>
              <w:right w:val="single" w:color="FFFFFF" w:sz="6" w:space="0"/>
            </w:tcBorders>
            <w:vAlign w:val="center"/>
          </w:tcPr>
          <w:p>
            <w:pPr>
              <w:pStyle w:val="11"/>
            </w:pPr>
            <w:r>
              <w:t>预算年</w:t>
            </w:r>
            <w:r>
              <w:rPr>
                <w:b/>
                <w:bCs/>
              </w:rPr>
              <w:t>度</w:t>
            </w:r>
            <w:r>
              <w:t>：2026</w:t>
            </w:r>
          </w:p>
        </w:tc>
        <w:tc>
          <w:tcPr>
            <w:tcW w:w="6661" w:type="dxa"/>
            <w:gridSpan w:val="2"/>
            <w:tcBorders>
              <w:top w:val="single" w:color="FFFFFF" w:sz="6" w:space="0"/>
              <w:left w:val="single" w:color="FFFFFF" w:sz="6" w:space="0"/>
              <w:right w:val="single" w:color="FFFFFF" w:sz="6" w:space="0"/>
            </w:tcBorders>
            <w:vAlign w:val="center"/>
          </w:tcPr>
          <w:p>
            <w:pPr>
              <w:pStyle w:val="10"/>
              <w:rPr>
                <w:b w:val="0"/>
                <w:bCs w:val="0"/>
              </w:rPr>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1744.76</w:t>
            </w:r>
          </w:p>
        </w:tc>
        <w:tc>
          <w:tcPr>
            <w:tcW w:w="4535" w:type="dxa"/>
            <w:vAlign w:val="center"/>
          </w:tcPr>
          <w:p>
            <w:pPr>
              <w:pStyle w:val="15"/>
            </w:pPr>
            <w:r>
              <w:t>一、一般公共服务支出</w:t>
            </w:r>
          </w:p>
        </w:tc>
        <w:tc>
          <w:tcPr>
            <w:tcW w:w="2126" w:type="dxa"/>
            <w:vAlign w:val="center"/>
          </w:tcPr>
          <w:p>
            <w:pPr>
              <w:pStyle w:val="14"/>
            </w:pPr>
            <w:r>
              <w:t>1200.97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100.03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92.53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1744.76</w:t>
            </w:r>
          </w:p>
        </w:tc>
        <w:tc>
          <w:tcPr>
            <w:tcW w:w="4535" w:type="dxa"/>
            <w:vAlign w:val="center"/>
          </w:tcPr>
          <w:p>
            <w:pPr>
              <w:pStyle w:val="17"/>
            </w:pPr>
            <w:r>
              <w:t>本年支出合计</w:t>
            </w:r>
          </w:p>
        </w:tc>
        <w:tc>
          <w:tcPr>
            <w:tcW w:w="2126" w:type="dxa"/>
            <w:vAlign w:val="center"/>
          </w:tcPr>
          <w:p>
            <w:pPr>
              <w:pStyle w:val="18"/>
            </w:pPr>
            <w:r>
              <w:t>1744.76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1744.76</w:t>
            </w:r>
          </w:p>
        </w:tc>
        <w:tc>
          <w:tcPr>
            <w:tcW w:w="4535" w:type="dxa"/>
            <w:vAlign w:val="center"/>
          </w:tcPr>
          <w:p>
            <w:pPr>
              <w:pStyle w:val="17"/>
            </w:pPr>
            <w:r>
              <w:t>支出总计</w:t>
            </w:r>
          </w:p>
        </w:tc>
        <w:tc>
          <w:tcPr>
            <w:tcW w:w="2126" w:type="dxa"/>
            <w:vAlign w:val="center"/>
          </w:tcPr>
          <w:p>
            <w:pPr>
              <w:pStyle w:val="18"/>
            </w:pPr>
            <w:r>
              <w:t>1744.76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3402" w:type="dxa"/>
            <w:gridSpan w:val="3"/>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670" w:type="dxa"/>
            <w:gridSpan w:val="5"/>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1744.76</w:t>
            </w:r>
          </w:p>
        </w:tc>
        <w:tc>
          <w:tcPr>
            <w:tcW w:w="1134" w:type="dxa"/>
            <w:vAlign w:val="center"/>
          </w:tcPr>
          <w:p>
            <w:pPr>
              <w:pStyle w:val="18"/>
            </w:pPr>
            <w:r>
              <w:t>1744.76</w:t>
            </w:r>
          </w:p>
        </w:tc>
        <w:tc>
          <w:tcPr>
            <w:tcW w:w="1134" w:type="dxa"/>
            <w:vAlign w:val="center"/>
          </w:tcPr>
          <w:p>
            <w:pPr>
              <w:pStyle w:val="18"/>
            </w:pPr>
            <w:r>
              <w:t>1744.76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r>
              <w:t>1200.97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1108.61</w:t>
            </w:r>
          </w:p>
        </w:tc>
        <w:tc>
          <w:tcPr>
            <w:tcW w:w="1134" w:type="dxa"/>
            <w:vAlign w:val="center"/>
          </w:tcPr>
          <w:p>
            <w:pPr>
              <w:pStyle w:val="14"/>
            </w:pPr>
            <w:r>
              <w:t>1108.61</w:t>
            </w:r>
          </w:p>
        </w:tc>
        <w:tc>
          <w:tcPr>
            <w:tcW w:w="1134" w:type="dxa"/>
            <w:vAlign w:val="center"/>
          </w:tcPr>
          <w:p>
            <w:pPr>
              <w:pStyle w:val="14"/>
            </w:pPr>
            <w:r>
              <w:t>1108.61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92.36</w:t>
            </w:r>
          </w:p>
        </w:tc>
        <w:tc>
          <w:tcPr>
            <w:tcW w:w="1134" w:type="dxa"/>
            <w:vAlign w:val="center"/>
          </w:tcPr>
          <w:p>
            <w:pPr>
              <w:pStyle w:val="14"/>
            </w:pPr>
            <w:r>
              <w:t>92.36</w:t>
            </w:r>
          </w:p>
        </w:tc>
        <w:tc>
          <w:tcPr>
            <w:tcW w:w="1134" w:type="dxa"/>
            <w:vAlign w:val="center"/>
          </w:tcPr>
          <w:p>
            <w:pPr>
              <w:pStyle w:val="14"/>
            </w:pPr>
            <w:r>
              <w:t>92.36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206</w:t>
            </w:r>
          </w:p>
        </w:tc>
        <w:tc>
          <w:tcPr>
            <w:tcW w:w="1559" w:type="dxa"/>
            <w:vAlign w:val="center"/>
          </w:tcPr>
          <w:p>
            <w:pPr>
              <w:pStyle w:val="15"/>
            </w:pPr>
            <w:r>
              <w:t>科学技术支出</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20601</w:t>
            </w:r>
          </w:p>
        </w:tc>
        <w:tc>
          <w:tcPr>
            <w:tcW w:w="1559" w:type="dxa"/>
            <w:vAlign w:val="center"/>
          </w:tcPr>
          <w:p>
            <w:pPr>
              <w:pStyle w:val="15"/>
            </w:pPr>
            <w:r>
              <w:t>科学技术管理事务</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2060199</w:t>
            </w:r>
          </w:p>
        </w:tc>
        <w:tc>
          <w:tcPr>
            <w:tcW w:w="1559" w:type="dxa"/>
            <w:vAlign w:val="center"/>
          </w:tcPr>
          <w:p>
            <w:pPr>
              <w:pStyle w:val="15"/>
            </w:pPr>
            <w:r>
              <w:t>其他科学技术管理事务支出</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r>
              <w:t>100.03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r>
              <w:t>51.23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42.08</w:t>
            </w:r>
          </w:p>
        </w:tc>
        <w:tc>
          <w:tcPr>
            <w:tcW w:w="1134" w:type="dxa"/>
            <w:vAlign w:val="center"/>
          </w:tcPr>
          <w:p>
            <w:pPr>
              <w:pStyle w:val="14"/>
            </w:pPr>
            <w:r>
              <w:t>42.08</w:t>
            </w:r>
          </w:p>
        </w:tc>
        <w:tc>
          <w:tcPr>
            <w:tcW w:w="1134" w:type="dxa"/>
            <w:vAlign w:val="center"/>
          </w:tcPr>
          <w:p>
            <w:pPr>
              <w:pStyle w:val="14"/>
            </w:pPr>
            <w:r>
              <w:t>42.08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9.15</w:t>
            </w:r>
          </w:p>
        </w:tc>
        <w:tc>
          <w:tcPr>
            <w:tcW w:w="1134" w:type="dxa"/>
            <w:vAlign w:val="center"/>
          </w:tcPr>
          <w:p>
            <w:pPr>
              <w:pStyle w:val="14"/>
            </w:pPr>
            <w:r>
              <w:t>9.15</w:t>
            </w:r>
          </w:p>
        </w:tc>
        <w:tc>
          <w:tcPr>
            <w:tcW w:w="1134" w:type="dxa"/>
            <w:vAlign w:val="center"/>
          </w:tcPr>
          <w:p>
            <w:pPr>
              <w:pStyle w:val="14"/>
            </w:pPr>
            <w:r>
              <w:t>9.15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r>
              <w:t>92.53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722" w:type="dxa"/>
            <w:gridSpan w:val="2"/>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444" w:type="dxa"/>
            <w:gridSpan w:val="4"/>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1744.76</w:t>
            </w:r>
          </w:p>
        </w:tc>
        <w:tc>
          <w:tcPr>
            <w:tcW w:w="1361" w:type="dxa"/>
            <w:vAlign w:val="center"/>
          </w:tcPr>
          <w:p>
            <w:pPr>
              <w:pStyle w:val="18"/>
            </w:pPr>
            <w:r>
              <w:t>1352.40</w:t>
            </w:r>
          </w:p>
        </w:tc>
        <w:tc>
          <w:tcPr>
            <w:tcW w:w="1361" w:type="dxa"/>
            <w:vAlign w:val="center"/>
          </w:tcPr>
          <w:p>
            <w:pPr>
              <w:pStyle w:val="18"/>
            </w:pPr>
            <w:r>
              <w:t>392.36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1200.97</w:t>
            </w:r>
          </w:p>
        </w:tc>
        <w:tc>
          <w:tcPr>
            <w:tcW w:w="1361" w:type="dxa"/>
            <w:vAlign w:val="center"/>
          </w:tcPr>
          <w:p>
            <w:pPr>
              <w:pStyle w:val="14"/>
            </w:pPr>
            <w:r>
              <w:t>1108.61</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1200.97</w:t>
            </w:r>
          </w:p>
        </w:tc>
        <w:tc>
          <w:tcPr>
            <w:tcW w:w="1361" w:type="dxa"/>
            <w:vAlign w:val="center"/>
          </w:tcPr>
          <w:p>
            <w:pPr>
              <w:pStyle w:val="14"/>
            </w:pPr>
            <w:r>
              <w:t>1108.61</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1108.61</w:t>
            </w:r>
          </w:p>
        </w:tc>
        <w:tc>
          <w:tcPr>
            <w:tcW w:w="1361" w:type="dxa"/>
            <w:vAlign w:val="center"/>
          </w:tcPr>
          <w:p>
            <w:pPr>
              <w:pStyle w:val="14"/>
            </w:pPr>
            <w:r>
              <w:t>1108.61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r>
              <w:t>92.36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206</w:t>
            </w:r>
          </w:p>
        </w:tc>
        <w:tc>
          <w:tcPr>
            <w:tcW w:w="4535" w:type="dxa"/>
            <w:vAlign w:val="center"/>
          </w:tcPr>
          <w:p>
            <w:pPr>
              <w:pStyle w:val="15"/>
            </w:pPr>
            <w:r>
              <w:t>科学技术支出</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20601</w:t>
            </w:r>
          </w:p>
        </w:tc>
        <w:tc>
          <w:tcPr>
            <w:tcW w:w="4535" w:type="dxa"/>
            <w:vAlign w:val="center"/>
          </w:tcPr>
          <w:p>
            <w:pPr>
              <w:pStyle w:val="15"/>
            </w:pPr>
            <w:r>
              <w:t>科学技术管理事务</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2060199</w:t>
            </w:r>
          </w:p>
        </w:tc>
        <w:tc>
          <w:tcPr>
            <w:tcW w:w="4535" w:type="dxa"/>
            <w:vAlign w:val="center"/>
          </w:tcPr>
          <w:p>
            <w:pPr>
              <w:pStyle w:val="15"/>
            </w:pPr>
            <w:r>
              <w:t>其他科学技术管理事务支出</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100.03</w:t>
            </w:r>
          </w:p>
        </w:tc>
        <w:tc>
          <w:tcPr>
            <w:tcW w:w="1361" w:type="dxa"/>
            <w:vAlign w:val="center"/>
          </w:tcPr>
          <w:p>
            <w:pPr>
              <w:pStyle w:val="14"/>
            </w:pPr>
            <w:r>
              <w:t>100.03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51.23</w:t>
            </w:r>
          </w:p>
        </w:tc>
        <w:tc>
          <w:tcPr>
            <w:tcW w:w="1361" w:type="dxa"/>
            <w:vAlign w:val="center"/>
          </w:tcPr>
          <w:p>
            <w:pPr>
              <w:pStyle w:val="14"/>
            </w:pPr>
            <w:r>
              <w:t>51.23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51.23</w:t>
            </w:r>
          </w:p>
        </w:tc>
        <w:tc>
          <w:tcPr>
            <w:tcW w:w="1361" w:type="dxa"/>
            <w:vAlign w:val="center"/>
          </w:tcPr>
          <w:p>
            <w:pPr>
              <w:pStyle w:val="14"/>
            </w:pPr>
            <w:r>
              <w:t>51.23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42.08</w:t>
            </w:r>
          </w:p>
        </w:tc>
        <w:tc>
          <w:tcPr>
            <w:tcW w:w="1361" w:type="dxa"/>
            <w:vAlign w:val="center"/>
          </w:tcPr>
          <w:p>
            <w:pPr>
              <w:pStyle w:val="14"/>
            </w:pPr>
            <w:r>
              <w:t>42.08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9.15</w:t>
            </w:r>
          </w:p>
        </w:tc>
        <w:tc>
          <w:tcPr>
            <w:tcW w:w="1361" w:type="dxa"/>
            <w:vAlign w:val="center"/>
          </w:tcPr>
          <w:p>
            <w:pPr>
              <w:pStyle w:val="14"/>
            </w:pPr>
            <w:r>
              <w:t>9.15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92.53</w:t>
            </w:r>
          </w:p>
        </w:tc>
        <w:tc>
          <w:tcPr>
            <w:tcW w:w="1361" w:type="dxa"/>
            <w:vAlign w:val="center"/>
          </w:tcPr>
          <w:p>
            <w:pPr>
              <w:pStyle w:val="14"/>
            </w:pPr>
            <w:r>
              <w:t>92.53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3402"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896" w:type="dxa"/>
            <w:gridSpan w:val="4"/>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1744.76</w:t>
            </w:r>
          </w:p>
        </w:tc>
        <w:tc>
          <w:tcPr>
            <w:tcW w:w="3402" w:type="dxa"/>
            <w:vAlign w:val="center"/>
          </w:tcPr>
          <w:p>
            <w:pPr>
              <w:pStyle w:val="15"/>
            </w:pPr>
            <w:r>
              <w:t>一、一般公共服务支出</w:t>
            </w:r>
          </w:p>
        </w:tc>
        <w:tc>
          <w:tcPr>
            <w:tcW w:w="1474" w:type="dxa"/>
            <w:vAlign w:val="center"/>
          </w:tcPr>
          <w:p>
            <w:pPr>
              <w:pStyle w:val="14"/>
            </w:pPr>
            <w:r>
              <w:t>1200.97</w:t>
            </w:r>
          </w:p>
        </w:tc>
        <w:tc>
          <w:tcPr>
            <w:tcW w:w="1474" w:type="dxa"/>
            <w:vAlign w:val="center"/>
          </w:tcPr>
          <w:p>
            <w:pPr>
              <w:pStyle w:val="14"/>
            </w:pPr>
            <w:r>
              <w:t>1200.97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r>
              <w:t>300.00</w:t>
            </w:r>
          </w:p>
        </w:tc>
        <w:tc>
          <w:tcPr>
            <w:tcW w:w="1474" w:type="dxa"/>
            <w:vAlign w:val="center"/>
          </w:tcPr>
          <w:p>
            <w:pPr>
              <w:pStyle w:val="14"/>
            </w:pPr>
            <w:r>
              <w:t>300.00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100.03</w:t>
            </w:r>
          </w:p>
        </w:tc>
        <w:tc>
          <w:tcPr>
            <w:tcW w:w="1474" w:type="dxa"/>
            <w:vAlign w:val="center"/>
          </w:tcPr>
          <w:p>
            <w:pPr>
              <w:pStyle w:val="14"/>
            </w:pPr>
            <w:r>
              <w:t>100.03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51.23</w:t>
            </w:r>
          </w:p>
        </w:tc>
        <w:tc>
          <w:tcPr>
            <w:tcW w:w="1474" w:type="dxa"/>
            <w:vAlign w:val="center"/>
          </w:tcPr>
          <w:p>
            <w:pPr>
              <w:pStyle w:val="14"/>
            </w:pPr>
            <w:r>
              <w:t>51.23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92.53</w:t>
            </w:r>
          </w:p>
        </w:tc>
        <w:tc>
          <w:tcPr>
            <w:tcW w:w="1474" w:type="dxa"/>
            <w:vAlign w:val="center"/>
          </w:tcPr>
          <w:p>
            <w:pPr>
              <w:pStyle w:val="14"/>
            </w:pPr>
            <w:r>
              <w:t>92.53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1744.76</w:t>
            </w:r>
          </w:p>
        </w:tc>
        <w:tc>
          <w:tcPr>
            <w:tcW w:w="3402" w:type="dxa"/>
            <w:vAlign w:val="center"/>
          </w:tcPr>
          <w:p>
            <w:pPr>
              <w:pStyle w:val="17"/>
            </w:pPr>
            <w:r>
              <w:t>本年支出合计</w:t>
            </w:r>
          </w:p>
        </w:tc>
        <w:tc>
          <w:tcPr>
            <w:tcW w:w="1474" w:type="dxa"/>
            <w:vAlign w:val="center"/>
          </w:tcPr>
          <w:p>
            <w:pPr>
              <w:pStyle w:val="18"/>
            </w:pPr>
            <w:r>
              <w:t>1744.76</w:t>
            </w:r>
          </w:p>
        </w:tc>
        <w:tc>
          <w:tcPr>
            <w:tcW w:w="1474" w:type="dxa"/>
            <w:vAlign w:val="center"/>
          </w:tcPr>
          <w:p>
            <w:pPr>
              <w:pStyle w:val="18"/>
            </w:pPr>
            <w:r>
              <w:t>1744.76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1744.76</w:t>
            </w:r>
          </w:p>
        </w:tc>
        <w:tc>
          <w:tcPr>
            <w:tcW w:w="3402" w:type="dxa"/>
            <w:vAlign w:val="center"/>
          </w:tcPr>
          <w:p>
            <w:pPr>
              <w:pStyle w:val="17"/>
            </w:pPr>
            <w:r>
              <w:t>支出总计</w:t>
            </w:r>
          </w:p>
        </w:tc>
        <w:tc>
          <w:tcPr>
            <w:tcW w:w="1474" w:type="dxa"/>
            <w:vAlign w:val="center"/>
          </w:tcPr>
          <w:p>
            <w:pPr>
              <w:pStyle w:val="18"/>
            </w:pPr>
            <w:r>
              <w:t>1744.76</w:t>
            </w:r>
          </w:p>
        </w:tc>
        <w:tc>
          <w:tcPr>
            <w:tcW w:w="1474" w:type="dxa"/>
            <w:vAlign w:val="center"/>
          </w:tcPr>
          <w:p>
            <w:pPr>
              <w:pStyle w:val="18"/>
            </w:pPr>
            <w:r>
              <w:t>1744.76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1744.76</w:t>
            </w:r>
          </w:p>
        </w:tc>
        <w:tc>
          <w:tcPr>
            <w:tcW w:w="2551" w:type="dxa"/>
            <w:vAlign w:val="center"/>
          </w:tcPr>
          <w:p>
            <w:pPr>
              <w:pStyle w:val="18"/>
            </w:pPr>
            <w:r>
              <w:t>1352.40</w:t>
            </w:r>
          </w:p>
        </w:tc>
        <w:tc>
          <w:tcPr>
            <w:tcW w:w="2551" w:type="dxa"/>
            <w:vAlign w:val="center"/>
          </w:tcPr>
          <w:p>
            <w:pPr>
              <w:pStyle w:val="18"/>
            </w:pPr>
            <w:r>
              <w:t>392.36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1200.97</w:t>
            </w:r>
          </w:p>
        </w:tc>
        <w:tc>
          <w:tcPr>
            <w:tcW w:w="2551" w:type="dxa"/>
            <w:vAlign w:val="center"/>
          </w:tcPr>
          <w:p>
            <w:pPr>
              <w:pStyle w:val="14"/>
            </w:pPr>
            <w:r>
              <w:t>1108.61</w:t>
            </w: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1200.97</w:t>
            </w:r>
          </w:p>
        </w:tc>
        <w:tc>
          <w:tcPr>
            <w:tcW w:w="2551" w:type="dxa"/>
            <w:vAlign w:val="center"/>
          </w:tcPr>
          <w:p>
            <w:pPr>
              <w:pStyle w:val="14"/>
            </w:pPr>
            <w:r>
              <w:t>1108.61</w:t>
            </w: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1108.61</w:t>
            </w:r>
          </w:p>
        </w:tc>
        <w:tc>
          <w:tcPr>
            <w:tcW w:w="2551" w:type="dxa"/>
            <w:vAlign w:val="center"/>
          </w:tcPr>
          <w:p>
            <w:pPr>
              <w:pStyle w:val="14"/>
            </w:pPr>
            <w:r>
              <w:t>1108.61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92.36</w:t>
            </w:r>
          </w:p>
        </w:tc>
        <w:tc>
          <w:tcPr>
            <w:tcW w:w="2551" w:type="dxa"/>
            <w:vAlign w:val="center"/>
          </w:tcPr>
          <w:p>
            <w:pPr>
              <w:pStyle w:val="14"/>
            </w:pPr>
          </w:p>
        </w:tc>
        <w:tc>
          <w:tcPr>
            <w:tcW w:w="2551" w:type="dxa"/>
            <w:vAlign w:val="center"/>
          </w:tcPr>
          <w:p>
            <w:pPr>
              <w:pStyle w:val="14"/>
            </w:pPr>
            <w:r>
              <w:t>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206</w:t>
            </w:r>
          </w:p>
        </w:tc>
        <w:tc>
          <w:tcPr>
            <w:tcW w:w="4535" w:type="dxa"/>
            <w:vAlign w:val="center"/>
          </w:tcPr>
          <w:p>
            <w:pPr>
              <w:pStyle w:val="15"/>
            </w:pPr>
            <w:r>
              <w:t>科学技术支出</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20601</w:t>
            </w:r>
          </w:p>
        </w:tc>
        <w:tc>
          <w:tcPr>
            <w:tcW w:w="4535" w:type="dxa"/>
            <w:vAlign w:val="center"/>
          </w:tcPr>
          <w:p>
            <w:pPr>
              <w:pStyle w:val="15"/>
            </w:pPr>
            <w:r>
              <w:t>科学技术管理事务</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2060199</w:t>
            </w:r>
          </w:p>
        </w:tc>
        <w:tc>
          <w:tcPr>
            <w:tcW w:w="4535" w:type="dxa"/>
            <w:vAlign w:val="center"/>
          </w:tcPr>
          <w:p>
            <w:pPr>
              <w:pStyle w:val="15"/>
            </w:pPr>
            <w:r>
              <w:t>其他科学技术管理事务支出</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51.23</w:t>
            </w:r>
          </w:p>
        </w:tc>
        <w:tc>
          <w:tcPr>
            <w:tcW w:w="2551" w:type="dxa"/>
            <w:vAlign w:val="center"/>
          </w:tcPr>
          <w:p>
            <w:pPr>
              <w:pStyle w:val="14"/>
            </w:pPr>
            <w:r>
              <w:t>51.23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51.23</w:t>
            </w:r>
          </w:p>
        </w:tc>
        <w:tc>
          <w:tcPr>
            <w:tcW w:w="2551" w:type="dxa"/>
            <w:vAlign w:val="center"/>
          </w:tcPr>
          <w:p>
            <w:pPr>
              <w:pStyle w:val="14"/>
            </w:pPr>
            <w:r>
              <w:t>51.23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42.08</w:t>
            </w:r>
          </w:p>
        </w:tc>
        <w:tc>
          <w:tcPr>
            <w:tcW w:w="2551" w:type="dxa"/>
            <w:vAlign w:val="center"/>
          </w:tcPr>
          <w:p>
            <w:pPr>
              <w:pStyle w:val="14"/>
            </w:pPr>
            <w:r>
              <w:t>42.08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9.15</w:t>
            </w:r>
          </w:p>
        </w:tc>
        <w:tc>
          <w:tcPr>
            <w:tcW w:w="2551" w:type="dxa"/>
            <w:vAlign w:val="center"/>
          </w:tcPr>
          <w:p>
            <w:pPr>
              <w:pStyle w:val="14"/>
            </w:pPr>
            <w:r>
              <w:t>9.15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1352.40</w:t>
            </w:r>
          </w:p>
        </w:tc>
        <w:tc>
          <w:tcPr>
            <w:tcW w:w="2551" w:type="dxa"/>
            <w:vAlign w:val="center"/>
          </w:tcPr>
          <w:p>
            <w:pPr>
              <w:pStyle w:val="18"/>
            </w:pPr>
            <w:r>
              <w:t>1209.95</w:t>
            </w:r>
          </w:p>
        </w:tc>
        <w:tc>
          <w:tcPr>
            <w:tcW w:w="2551" w:type="dxa"/>
            <w:vAlign w:val="center"/>
          </w:tcPr>
          <w:p>
            <w:pPr>
              <w:pStyle w:val="18"/>
            </w:pPr>
            <w:r>
              <w:t>142.45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1143.80</w:t>
            </w:r>
          </w:p>
        </w:tc>
        <w:tc>
          <w:tcPr>
            <w:tcW w:w="2551" w:type="dxa"/>
            <w:vAlign w:val="center"/>
          </w:tcPr>
          <w:p>
            <w:pPr>
              <w:pStyle w:val="14"/>
            </w:pPr>
            <w:r>
              <w:t>1143.80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305.48</w:t>
            </w:r>
          </w:p>
        </w:tc>
        <w:tc>
          <w:tcPr>
            <w:tcW w:w="2551" w:type="dxa"/>
            <w:vAlign w:val="center"/>
          </w:tcPr>
          <w:p>
            <w:pPr>
              <w:pStyle w:val="14"/>
            </w:pPr>
            <w:r>
              <w:t>305.48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185.97</w:t>
            </w:r>
          </w:p>
        </w:tc>
        <w:tc>
          <w:tcPr>
            <w:tcW w:w="2551" w:type="dxa"/>
            <w:vAlign w:val="center"/>
          </w:tcPr>
          <w:p>
            <w:pPr>
              <w:pStyle w:val="14"/>
            </w:pPr>
            <w:r>
              <w:t>185.97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137.33</w:t>
            </w:r>
          </w:p>
        </w:tc>
        <w:tc>
          <w:tcPr>
            <w:tcW w:w="2551" w:type="dxa"/>
            <w:vAlign w:val="center"/>
          </w:tcPr>
          <w:p>
            <w:pPr>
              <w:pStyle w:val="14"/>
            </w:pPr>
            <w:r>
              <w:t>137.33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204.60</w:t>
            </w:r>
          </w:p>
        </w:tc>
        <w:tc>
          <w:tcPr>
            <w:tcW w:w="2551" w:type="dxa"/>
            <w:vAlign w:val="center"/>
          </w:tcPr>
          <w:p>
            <w:pPr>
              <w:pStyle w:val="14"/>
            </w:pPr>
            <w:r>
              <w:t>204.60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100.03</w:t>
            </w:r>
          </w:p>
        </w:tc>
        <w:tc>
          <w:tcPr>
            <w:tcW w:w="2551" w:type="dxa"/>
            <w:vAlign w:val="center"/>
          </w:tcPr>
          <w:p>
            <w:pPr>
              <w:pStyle w:val="14"/>
            </w:pPr>
            <w:r>
              <w:t>100.03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42.08</w:t>
            </w:r>
          </w:p>
        </w:tc>
        <w:tc>
          <w:tcPr>
            <w:tcW w:w="2551" w:type="dxa"/>
            <w:vAlign w:val="center"/>
          </w:tcPr>
          <w:p>
            <w:pPr>
              <w:pStyle w:val="14"/>
            </w:pPr>
            <w:r>
              <w:t>42.08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9.15</w:t>
            </w:r>
          </w:p>
        </w:tc>
        <w:tc>
          <w:tcPr>
            <w:tcW w:w="2551" w:type="dxa"/>
            <w:vAlign w:val="center"/>
          </w:tcPr>
          <w:p>
            <w:pPr>
              <w:pStyle w:val="14"/>
            </w:pPr>
            <w:r>
              <w:t>9.15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3.96</w:t>
            </w:r>
          </w:p>
        </w:tc>
        <w:tc>
          <w:tcPr>
            <w:tcW w:w="2551" w:type="dxa"/>
            <w:vAlign w:val="center"/>
          </w:tcPr>
          <w:p>
            <w:pPr>
              <w:pStyle w:val="14"/>
            </w:pPr>
            <w:r>
              <w:t>3.96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92.53</w:t>
            </w:r>
          </w:p>
        </w:tc>
        <w:tc>
          <w:tcPr>
            <w:tcW w:w="2551" w:type="dxa"/>
            <w:vAlign w:val="center"/>
          </w:tcPr>
          <w:p>
            <w:pPr>
              <w:pStyle w:val="14"/>
            </w:pPr>
            <w:r>
              <w:t>92.53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62.67</w:t>
            </w:r>
          </w:p>
        </w:tc>
        <w:tc>
          <w:tcPr>
            <w:tcW w:w="2551" w:type="dxa"/>
            <w:vAlign w:val="center"/>
          </w:tcPr>
          <w:p>
            <w:pPr>
              <w:pStyle w:val="14"/>
            </w:pPr>
            <w:r>
              <w:t>62.67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142.45</w:t>
            </w:r>
          </w:p>
        </w:tc>
        <w:tc>
          <w:tcPr>
            <w:tcW w:w="2551" w:type="dxa"/>
            <w:vAlign w:val="center"/>
          </w:tcPr>
          <w:p>
            <w:pPr>
              <w:pStyle w:val="14"/>
            </w:pPr>
          </w:p>
        </w:tc>
        <w:tc>
          <w:tcPr>
            <w:tcW w:w="2551" w:type="dxa"/>
            <w:vAlign w:val="center"/>
          </w:tcPr>
          <w:p>
            <w:pPr>
              <w:pStyle w:val="14"/>
            </w:pPr>
            <w:r>
              <w:t>142.45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13.45</w:t>
            </w:r>
          </w:p>
        </w:tc>
        <w:tc>
          <w:tcPr>
            <w:tcW w:w="2551" w:type="dxa"/>
            <w:vAlign w:val="center"/>
          </w:tcPr>
          <w:p>
            <w:pPr>
              <w:pStyle w:val="14"/>
            </w:pPr>
          </w:p>
        </w:tc>
        <w:tc>
          <w:tcPr>
            <w:tcW w:w="2551" w:type="dxa"/>
            <w:vAlign w:val="center"/>
          </w:tcPr>
          <w:p>
            <w:pPr>
              <w:pStyle w:val="14"/>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1.80</w:t>
            </w:r>
          </w:p>
        </w:tc>
        <w:tc>
          <w:tcPr>
            <w:tcW w:w="2551" w:type="dxa"/>
            <w:vAlign w:val="center"/>
          </w:tcPr>
          <w:p>
            <w:pPr>
              <w:pStyle w:val="14"/>
            </w:pPr>
          </w:p>
        </w:tc>
        <w:tc>
          <w:tcPr>
            <w:tcW w:w="2551"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40.69</w:t>
            </w:r>
          </w:p>
        </w:tc>
        <w:tc>
          <w:tcPr>
            <w:tcW w:w="2551" w:type="dxa"/>
            <w:vAlign w:val="center"/>
          </w:tcPr>
          <w:p>
            <w:pPr>
              <w:pStyle w:val="14"/>
            </w:pPr>
          </w:p>
        </w:tc>
        <w:tc>
          <w:tcPr>
            <w:tcW w:w="2551" w:type="dxa"/>
            <w:vAlign w:val="center"/>
          </w:tcPr>
          <w:p>
            <w:pPr>
              <w:pStyle w:val="14"/>
              <w:rPr>
                <w:rFonts w:hint="eastAsia" w:eastAsia="方正书宋_GBK"/>
                <w:lang w:eastAsia="zh-CN"/>
              </w:rPr>
            </w:pPr>
            <w:r>
              <w:t>40.6</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34.62</w:t>
            </w:r>
          </w:p>
        </w:tc>
        <w:tc>
          <w:tcPr>
            <w:tcW w:w="2551" w:type="dxa"/>
            <w:vAlign w:val="center"/>
          </w:tcPr>
          <w:p>
            <w:pPr>
              <w:pStyle w:val="14"/>
            </w:pPr>
          </w:p>
        </w:tc>
        <w:tc>
          <w:tcPr>
            <w:tcW w:w="2551" w:type="dxa"/>
            <w:vAlign w:val="center"/>
          </w:tcPr>
          <w:p>
            <w:pPr>
              <w:pStyle w:val="14"/>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1.80</w:t>
            </w:r>
          </w:p>
        </w:tc>
        <w:tc>
          <w:tcPr>
            <w:tcW w:w="2551" w:type="dxa"/>
            <w:vAlign w:val="center"/>
          </w:tcPr>
          <w:p>
            <w:pPr>
              <w:pStyle w:val="14"/>
            </w:pPr>
          </w:p>
        </w:tc>
        <w:tc>
          <w:tcPr>
            <w:tcW w:w="2551"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0.83</w:t>
            </w:r>
          </w:p>
        </w:tc>
        <w:tc>
          <w:tcPr>
            <w:tcW w:w="2551" w:type="dxa"/>
            <w:vAlign w:val="center"/>
          </w:tcPr>
          <w:p>
            <w:pPr>
              <w:pStyle w:val="14"/>
            </w:pPr>
          </w:p>
        </w:tc>
        <w:tc>
          <w:tcPr>
            <w:tcW w:w="2551" w:type="dxa"/>
            <w:vAlign w:val="center"/>
          </w:tcPr>
          <w:p>
            <w:pPr>
              <w:pStyle w:val="14"/>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2.33</w:t>
            </w:r>
          </w:p>
        </w:tc>
        <w:tc>
          <w:tcPr>
            <w:tcW w:w="2551" w:type="dxa"/>
            <w:vAlign w:val="center"/>
          </w:tcPr>
          <w:p>
            <w:pPr>
              <w:pStyle w:val="14"/>
            </w:pPr>
          </w:p>
        </w:tc>
        <w:tc>
          <w:tcPr>
            <w:tcW w:w="2551" w:type="dxa"/>
            <w:vAlign w:val="center"/>
          </w:tcPr>
          <w:p>
            <w:pPr>
              <w:pStyle w:val="14"/>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0.56</w:t>
            </w:r>
          </w:p>
        </w:tc>
        <w:tc>
          <w:tcPr>
            <w:tcW w:w="2551" w:type="dxa"/>
            <w:vAlign w:val="center"/>
          </w:tcPr>
          <w:p>
            <w:pPr>
              <w:pStyle w:val="14"/>
            </w:pPr>
          </w:p>
        </w:tc>
        <w:tc>
          <w:tcPr>
            <w:tcW w:w="2551" w:type="dxa"/>
            <w:vAlign w:val="center"/>
          </w:tcPr>
          <w:p>
            <w:pPr>
              <w:pStyle w:val="14"/>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8.91</w:t>
            </w:r>
          </w:p>
        </w:tc>
        <w:tc>
          <w:tcPr>
            <w:tcW w:w="2551" w:type="dxa"/>
            <w:vAlign w:val="center"/>
          </w:tcPr>
          <w:p>
            <w:pPr>
              <w:pStyle w:val="14"/>
            </w:pPr>
          </w:p>
        </w:tc>
        <w:tc>
          <w:tcPr>
            <w:tcW w:w="2551" w:type="dxa"/>
            <w:vAlign w:val="center"/>
          </w:tcPr>
          <w:p>
            <w:pPr>
              <w:pStyle w:val="14"/>
            </w:pPr>
            <w:r>
              <w:t>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2.42</w:t>
            </w:r>
          </w:p>
        </w:tc>
        <w:tc>
          <w:tcPr>
            <w:tcW w:w="2551" w:type="dxa"/>
            <w:vAlign w:val="center"/>
          </w:tcPr>
          <w:p>
            <w:pPr>
              <w:pStyle w:val="14"/>
            </w:pPr>
          </w:p>
        </w:tc>
        <w:tc>
          <w:tcPr>
            <w:tcW w:w="2551" w:type="dxa"/>
            <w:vAlign w:val="center"/>
          </w:tcPr>
          <w:p>
            <w:pPr>
              <w:pStyle w:val="14"/>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21.04</w:t>
            </w:r>
          </w:p>
        </w:tc>
        <w:tc>
          <w:tcPr>
            <w:tcW w:w="2551" w:type="dxa"/>
            <w:vAlign w:val="center"/>
          </w:tcPr>
          <w:p>
            <w:pPr>
              <w:pStyle w:val="14"/>
            </w:pPr>
          </w:p>
        </w:tc>
        <w:tc>
          <w:tcPr>
            <w:tcW w:w="2551" w:type="dxa"/>
            <w:vAlign w:val="center"/>
          </w:tcPr>
          <w:p>
            <w:pPr>
              <w:pStyle w:val="14"/>
            </w:pPr>
            <w:r>
              <w:t>21.04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11.01</w:t>
            </w:r>
          </w:p>
        </w:tc>
        <w:tc>
          <w:tcPr>
            <w:tcW w:w="2551" w:type="dxa"/>
            <w:vAlign w:val="center"/>
          </w:tcPr>
          <w:p>
            <w:pPr>
              <w:pStyle w:val="14"/>
            </w:pPr>
          </w:p>
        </w:tc>
        <w:tc>
          <w:tcPr>
            <w:tcW w:w="2551" w:type="dxa"/>
            <w:vAlign w:val="center"/>
          </w:tcPr>
          <w:p>
            <w:pPr>
              <w:pStyle w:val="14"/>
            </w:pPr>
            <w:r>
              <w:t>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66.15</w:t>
            </w:r>
          </w:p>
        </w:tc>
        <w:tc>
          <w:tcPr>
            <w:tcW w:w="2551" w:type="dxa"/>
            <w:vAlign w:val="center"/>
          </w:tcPr>
          <w:p>
            <w:pPr>
              <w:pStyle w:val="14"/>
            </w:pPr>
            <w:r>
              <w:t>66.15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66.15</w:t>
            </w:r>
          </w:p>
        </w:tc>
        <w:tc>
          <w:tcPr>
            <w:tcW w:w="2551" w:type="dxa"/>
            <w:vAlign w:val="center"/>
          </w:tcPr>
          <w:p>
            <w:pPr>
              <w:pStyle w:val="14"/>
            </w:pPr>
            <w:r>
              <w:t>66.15</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55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5102" w:type="dxa"/>
            <w:gridSpan w:val="2"/>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ind w:firstLine="0" w:firstLineChars="0"/>
            </w:pPr>
            <w:r>
              <w:t>224001石家庄市长安区</w:t>
            </w:r>
            <w:r>
              <w:rPr>
                <w:b/>
                <w:bCs/>
              </w:rPr>
              <w:t>数据和</w:t>
            </w:r>
            <w:r>
              <w:t>政</w:t>
            </w:r>
            <w:r>
              <w:rPr>
                <w:b/>
                <w:bCs/>
              </w:rPr>
              <w:t>务服务局</w:t>
            </w:r>
            <w:r>
              <w:t>机</w:t>
            </w:r>
            <w:r>
              <w:rPr>
                <w:b/>
                <w:bCs/>
              </w:rPr>
              <w:t>关</w:t>
            </w:r>
            <w:r>
              <w:t>本级</w:t>
            </w:r>
          </w:p>
        </w:tc>
        <w:tc>
          <w:tcPr>
            <w:tcW w:w="2381" w:type="dxa"/>
            <w:tcBorders>
              <w:top w:val="single" w:color="FFFFFF" w:sz="6" w:space="0"/>
              <w:left w:val="single" w:color="FFFFFF" w:sz="6" w:space="0"/>
              <w:right w:val="single" w:color="FFFFFF" w:sz="6" w:space="0"/>
            </w:tcBorders>
            <w:vAlign w:val="center"/>
          </w:tcPr>
          <w:p>
            <w:pPr>
              <w:pStyle w:val="11"/>
              <w:ind w:firstLine="0" w:firstLineChars="0"/>
            </w:pPr>
            <w:r>
              <w:t>预算年</w:t>
            </w:r>
            <w:r>
              <w:rPr>
                <w:b/>
                <w:bCs/>
              </w:rPr>
              <w:t>度</w:t>
            </w:r>
            <w:r>
              <w:t>：2026</w:t>
            </w:r>
          </w:p>
        </w:tc>
        <w:tc>
          <w:tcPr>
            <w:tcW w:w="4762" w:type="dxa"/>
            <w:gridSpan w:val="2"/>
            <w:tcBorders>
              <w:top w:val="single" w:color="FFFFFF" w:sz="6" w:space="0"/>
              <w:left w:val="single" w:color="FFFFFF" w:sz="6" w:space="0"/>
              <w:right w:val="single" w:color="FFFFFF" w:sz="6" w:space="0"/>
            </w:tcBorders>
            <w:vAlign w:val="center"/>
          </w:tcPr>
          <w:p>
            <w:pPr>
              <w:pStyle w:val="10"/>
              <w:ind w:firstLine="0" w:firstLineChars="0"/>
            </w:pPr>
            <w:r>
              <w:rPr>
                <w:b w:val="0"/>
                <w:bCs w:val="0"/>
              </w:rPr>
              <w:t>单位：</w:t>
            </w:r>
            <w:r>
              <w:rPr>
                <w:b/>
                <w:bCs/>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2.98</w:t>
            </w:r>
          </w:p>
        </w:tc>
        <w:tc>
          <w:tcPr>
            <w:tcW w:w="2381" w:type="dxa"/>
            <w:vAlign w:val="center"/>
          </w:tcPr>
          <w:p>
            <w:pPr>
              <w:pStyle w:val="18"/>
            </w:pPr>
            <w:r>
              <w:t>2.98</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2.98</w:t>
            </w:r>
          </w:p>
        </w:tc>
        <w:tc>
          <w:tcPr>
            <w:tcW w:w="2381" w:type="dxa"/>
            <w:vAlign w:val="center"/>
          </w:tcPr>
          <w:p>
            <w:pPr>
              <w:pStyle w:val="14"/>
            </w:pPr>
            <w:r>
              <w:t>2.98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二、公务用车购置及运维费</w:t>
            </w:r>
          </w:p>
        </w:tc>
        <w:tc>
          <w:tcPr>
            <w:tcW w:w="2381" w:type="dxa"/>
            <w:vAlign w:val="center"/>
          </w:tcPr>
          <w:p>
            <w:pPr>
              <w:pStyle w:val="14"/>
            </w:pPr>
            <w:r>
              <w:t>2.42</w:t>
            </w:r>
          </w:p>
        </w:tc>
        <w:tc>
          <w:tcPr>
            <w:tcW w:w="2381" w:type="dxa"/>
            <w:vAlign w:val="center"/>
          </w:tcPr>
          <w:p>
            <w:pPr>
              <w:pStyle w:val="14"/>
            </w:pPr>
            <w:r>
              <w:t>2.42</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公务用车运行维护费</w:t>
            </w:r>
          </w:p>
        </w:tc>
        <w:tc>
          <w:tcPr>
            <w:tcW w:w="2381" w:type="dxa"/>
            <w:vAlign w:val="center"/>
          </w:tcPr>
          <w:p>
            <w:pPr>
              <w:pStyle w:val="14"/>
            </w:pPr>
            <w:r>
              <w:t>2.42</w:t>
            </w:r>
          </w:p>
        </w:tc>
        <w:tc>
          <w:tcPr>
            <w:tcW w:w="2381" w:type="dxa"/>
            <w:vAlign w:val="center"/>
          </w:tcPr>
          <w:p>
            <w:pPr>
              <w:pStyle w:val="14"/>
            </w:pPr>
            <w:r>
              <w:t>2.42</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三、公务接待费</w:t>
            </w:r>
          </w:p>
        </w:tc>
        <w:tc>
          <w:tcPr>
            <w:tcW w:w="2381" w:type="dxa"/>
            <w:vAlign w:val="center"/>
          </w:tcPr>
          <w:p>
            <w:pPr>
              <w:pStyle w:val="14"/>
            </w:pPr>
            <w:r>
              <w:t>0.56</w:t>
            </w:r>
          </w:p>
        </w:tc>
        <w:tc>
          <w:tcPr>
            <w:tcW w:w="2381" w:type="dxa"/>
            <w:vAlign w:val="center"/>
          </w:tcPr>
          <w:p>
            <w:pPr>
              <w:pStyle w:val="14"/>
            </w:pPr>
            <w:r>
              <w:t>0.56</w:t>
            </w: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w:t>
      </w:r>
      <w:r>
        <w:rPr>
          <w:rFonts w:ascii="方正小标宋_GBK" w:hAnsi="方正小标宋_GBK" w:eastAsia="方正小标宋_GBK" w:cs="方正小标宋_GBK"/>
          <w:b/>
          <w:bCs/>
          <w:color w:val="000000"/>
          <w:sz w:val="44"/>
        </w:rPr>
        <w:t>数据和</w:t>
      </w:r>
      <w:r>
        <w:rPr>
          <w:rFonts w:ascii="方正小标宋_GBK" w:hAnsi="方正小标宋_GBK" w:eastAsia="方正小标宋_GBK" w:cs="方正小标宋_GBK"/>
          <w:b w:val="0"/>
          <w:color w:val="000000"/>
          <w:sz w:val="44"/>
        </w:rPr>
        <w:t>政</w:t>
      </w:r>
      <w:r>
        <w:rPr>
          <w:rFonts w:ascii="方正小标宋_GBK" w:hAnsi="方正小标宋_GBK" w:eastAsia="方正小标宋_GBK" w:cs="方正小标宋_GBK"/>
          <w:b/>
          <w:bCs/>
          <w:color w:val="000000"/>
          <w:sz w:val="44"/>
        </w:rPr>
        <w:t>务服务局</w:t>
      </w:r>
      <w:r>
        <w:rPr>
          <w:rFonts w:ascii="方正小标宋_GBK" w:hAnsi="方正小标宋_GBK" w:eastAsia="方正小标宋_GBK" w:cs="方正小标宋_GBK"/>
          <w:b w:val="0"/>
          <w:color w:val="000000"/>
          <w:sz w:val="44"/>
        </w:rPr>
        <w:t>机</w:t>
      </w:r>
      <w:r>
        <w:rPr>
          <w:rFonts w:ascii="方正小标宋_GBK" w:hAnsi="方正小标宋_GBK" w:eastAsia="方正小标宋_GBK" w:cs="方正小标宋_GBK"/>
          <w:b/>
          <w:bCs/>
          <w:color w:val="000000"/>
          <w:sz w:val="44"/>
        </w:rPr>
        <w:t>关</w:t>
      </w:r>
      <w:r>
        <w:rPr>
          <w:rFonts w:ascii="方正小标宋_GBK" w:hAnsi="方正小标宋_GBK" w:eastAsia="方正小标宋_GBK" w:cs="方正小标宋_GBK"/>
          <w:b w:val="0"/>
          <w:color w:val="000000"/>
          <w:sz w:val="44"/>
        </w:rPr>
        <w:t>本级2026年单位预算信息公开情况说明</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按照《中华人民共和国预算法》、《地方预决算公开操作规程》和《关于进一步推进预算公开工作的实施意见》规定，现将石家庄市长安区数据和政务服务局机关本级2026年单位预算公开如下：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auto"/>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(一)负责统筹推进数字长安、数字经济、数字社会、数字政府规划和建设。组织实施全区大数据战略。协调推动全区公共服务和社会治理信息化，协调促进智慧城市建设，</w:t>
      </w:r>
      <w:r>
        <w:rPr>
          <w:rFonts w:hint="eastAsia" w:asciiTheme="minorEastAsia" w:hAnsiTheme="minorEastAsia" w:eastAsiaTheme="minorEastAsia" w:cstheme="minorEastAsia"/>
          <w:color w:val="auto"/>
          <w:sz w:val="30"/>
          <w:szCs w:val="30"/>
          <w:highlight w:val="none"/>
          <w:shd w:val="clear" w:color="auto" w:fill="FFFFFF"/>
          <w:lang w:val="en-US" w:eastAsia="zh-CN"/>
        </w:rPr>
        <w:t>提出各部门统筹安排区级信息化项目及资金的使用建议。</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（二）统筹协调全区数据资源整合共享与开发利用。协调推进全区数据规范管理，组织推动公共数据资源开发利用，推动信息资源跨行业跨部门互联互通。</w:t>
      </w:r>
    </w:p>
    <w:p>
      <w:pPr>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highlight w:val="none"/>
          <w:shd w:val="clear" w:color="auto" w:fill="FFFFFF"/>
          <w:lang w:val="en-US" w:eastAsia="zh-CN"/>
        </w:rPr>
      </w:pPr>
      <w:r>
        <w:rPr>
          <w:rFonts w:hint="eastAsia" w:asciiTheme="minorEastAsia" w:hAnsiTheme="minorEastAsia" w:eastAsiaTheme="minorEastAsia" w:cstheme="minorEastAsia"/>
          <w:color w:val="000000"/>
          <w:sz w:val="30"/>
          <w:szCs w:val="30"/>
          <w:highlight w:val="none"/>
          <w:shd w:val="clear" w:color="auto" w:fill="FFFFFF"/>
          <w:lang w:val="en-US" w:eastAsia="zh-CN"/>
        </w:rPr>
        <w:t>（三）协调推动全区数字经济发展，促进数字产业化和产业数字化。推动跨领域跨行业数字化转型，促进数字经济和实体经济深度融合。</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highlight w:val="none"/>
          <w:u w:val="none" w:color="auto"/>
          <w:lang w:eastAsia="zh-CN"/>
        </w:rPr>
      </w:pP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四</w:t>
      </w: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统筹推进政府履职和政务运行数字化转型。统筹推进全区“</w:t>
      </w:r>
      <w:r>
        <w:rPr>
          <w:rFonts w:hint="eastAsia" w:asciiTheme="minorEastAsia" w:hAnsiTheme="minorEastAsia" w:eastAsiaTheme="minorEastAsia" w:cstheme="minorEastAsia"/>
          <w:color w:val="000000"/>
          <w:sz w:val="30"/>
          <w:szCs w:val="30"/>
          <w:highlight w:val="none"/>
          <w:shd w:val="clear" w:color="auto" w:fill="FFFFFF"/>
          <w:lang w:val="en-US" w:eastAsia="zh-CN"/>
        </w:rPr>
        <w:t>互联网+政务服务”工作</w:t>
      </w:r>
      <w:r>
        <w:rPr>
          <w:rFonts w:hint="eastAsia" w:asciiTheme="minorEastAsia" w:hAnsiTheme="minorEastAsia" w:eastAsiaTheme="minorEastAsia" w:cstheme="minorEastAsia"/>
          <w:color w:val="auto"/>
          <w:sz w:val="30"/>
          <w:szCs w:val="30"/>
          <w:highlight w:val="none"/>
          <w:u w:val="none" w:color="auto"/>
          <w:lang w:eastAsia="zh-CN"/>
        </w:rPr>
        <w:t>，推行政务服务事项网上办理，形成管理机构、实体大厅、网上平台“三位一体”的政务服务管理模式；推进全区电子证照管理和应用。</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u w:val="none" w:color="auto"/>
          <w:lang w:eastAsia="zh-CN"/>
        </w:rPr>
      </w:pPr>
      <w:r>
        <w:rPr>
          <w:rFonts w:hint="eastAsia" w:asciiTheme="minorEastAsia" w:hAnsiTheme="minorEastAsia" w:eastAsiaTheme="minorEastAsia" w:cstheme="minorEastAsia"/>
          <w:color w:val="auto"/>
          <w:sz w:val="30"/>
          <w:szCs w:val="30"/>
          <w:u w:val="none" w:color="auto"/>
          <w:lang w:eastAsia="zh-CN"/>
        </w:rPr>
        <w:t>（五）组织协调推进全区</w:t>
      </w:r>
      <w:r>
        <w:rPr>
          <w:rFonts w:hint="eastAsia" w:asciiTheme="minorEastAsia" w:hAnsiTheme="minorEastAsia" w:eastAsiaTheme="minorEastAsia" w:cstheme="minorEastAsia"/>
          <w:color w:val="auto"/>
          <w:sz w:val="30"/>
          <w:szCs w:val="30"/>
          <w:u w:val="none" w:color="auto"/>
          <w:lang w:val="en-US" w:eastAsia="zh-CN"/>
        </w:rPr>
        <w:t>政府职能转变工作，贯彻落实党中央、国务院和省委省政府、市委市政府、区委区政府关于推进政府职能转变重要领域、关键环节重点政策措施。</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lang w:eastAsia="zh-CN"/>
        </w:rPr>
      </w:pPr>
      <w:r>
        <w:rPr>
          <w:rFonts w:hint="eastAsia" w:asciiTheme="minorEastAsia" w:hAnsiTheme="minorEastAsia" w:eastAsiaTheme="minorEastAsia" w:cstheme="minorEastAsia"/>
          <w:color w:val="auto"/>
          <w:sz w:val="30"/>
          <w:szCs w:val="30"/>
          <w:u w:val="none" w:color="auto"/>
          <w:lang w:eastAsia="zh-CN"/>
        </w:rPr>
        <w:t>（六）协调推进全区行政审批制度改革工作，协调推进全区简政放权工作。统筹推动各级政务服务标准化、规范化、便利化，推进政务服务集成化高效办。统筹指导镇（街道）、社区政务服务体系建设。指导协调全区政务服务和公共服务管理工作。推动公共服务便利化。</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highlight w:val="none"/>
          <w:u w:val="none" w:color="auto"/>
          <w:lang w:eastAsia="zh-CN"/>
        </w:rPr>
      </w:pPr>
      <w:r>
        <w:rPr>
          <w:rFonts w:hint="eastAsia" w:asciiTheme="minorEastAsia" w:hAnsiTheme="minorEastAsia" w:eastAsiaTheme="minorEastAsia" w:cstheme="minorEastAsia"/>
          <w:color w:val="auto"/>
          <w:sz w:val="30"/>
          <w:szCs w:val="30"/>
          <w:u w:val="none" w:color="auto"/>
          <w:lang w:eastAsia="zh-CN"/>
        </w:rPr>
        <w:t>（七）</w:t>
      </w:r>
      <w:r>
        <w:rPr>
          <w:rFonts w:hint="eastAsia" w:asciiTheme="minorEastAsia" w:hAnsiTheme="minorEastAsia" w:eastAsiaTheme="minorEastAsia" w:cstheme="minorEastAsia"/>
          <w:color w:val="auto"/>
          <w:sz w:val="30"/>
          <w:szCs w:val="30"/>
          <w:highlight w:val="none"/>
          <w:u w:val="none" w:color="auto"/>
          <w:lang w:eastAsia="zh-CN"/>
        </w:rPr>
        <w:t>建立健全全区政务服务、行政审批服务管理制度。对进驻政务服务大厅的部门进行统一管理，对进驻事项的办理情况、办理效能以及办事人员的服务质量等进行监督。</w:t>
      </w:r>
    </w:p>
    <w:p>
      <w:pPr>
        <w:keepNext w:val="0"/>
        <w:keepLines w:val="0"/>
        <w:pageBreakBefore w:val="0"/>
        <w:widowControl w:val="0"/>
        <w:kinsoku/>
        <w:wordWrap/>
        <w:overflowPunct/>
        <w:topLinePunct w:val="0"/>
        <w:autoSpaceDE/>
        <w:autoSpaceDN/>
        <w:bidi w:val="0"/>
        <w:spacing w:line="600" w:lineRule="exact"/>
        <w:ind w:firstLine="720"/>
        <w:jc w:val="left"/>
        <w:textAlignment w:val="auto"/>
        <w:rPr>
          <w:rFonts w:hint="eastAsia" w:asciiTheme="minorEastAsia" w:hAnsiTheme="minorEastAsia" w:eastAsiaTheme="minorEastAsia" w:cstheme="minorEastAsia"/>
          <w:color w:val="auto"/>
          <w:sz w:val="30"/>
          <w:szCs w:val="30"/>
          <w:highlight w:val="yellow"/>
          <w:u w:val="none" w:color="auto"/>
          <w:lang w:val="en-US" w:eastAsia="zh-CN"/>
        </w:rPr>
      </w:pP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val="en-US" w:eastAsia="zh-CN"/>
        </w:rPr>
        <w:t>八</w:t>
      </w:r>
      <w:r>
        <w:rPr>
          <w:rFonts w:hint="eastAsia" w:asciiTheme="minorEastAsia" w:hAnsiTheme="minorEastAsia" w:eastAsiaTheme="minorEastAsia" w:cstheme="minorEastAsia"/>
          <w:color w:val="auto"/>
          <w:sz w:val="30"/>
          <w:szCs w:val="30"/>
          <w:highlight w:val="none"/>
          <w:u w:val="none" w:color="auto"/>
        </w:rPr>
        <w:t>）</w:t>
      </w:r>
      <w:r>
        <w:rPr>
          <w:rFonts w:hint="eastAsia" w:asciiTheme="minorEastAsia" w:hAnsiTheme="minorEastAsia" w:eastAsiaTheme="minorEastAsia" w:cstheme="minorEastAsia"/>
          <w:color w:val="auto"/>
          <w:sz w:val="30"/>
          <w:szCs w:val="30"/>
          <w:highlight w:val="none"/>
          <w:u w:val="none" w:color="auto"/>
          <w:lang w:eastAsia="zh-CN"/>
        </w:rPr>
        <w:t>引导和推动全区社会信用体系建设。拟订社会信用体系建设年度工作要点。负责组织实施守信联合激励和失信联合惩罚。开展失信问题专项治理。负责诚信宣传教育和诚信文化建设，培育和发展信用服务市场。</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rPr>
      </w:pPr>
      <w:r>
        <w:rPr>
          <w:rFonts w:hint="eastAsia" w:asciiTheme="minorEastAsia" w:hAnsiTheme="minorEastAsia" w:eastAsiaTheme="minorEastAsia" w:cstheme="minorEastAsia"/>
          <w:color w:val="auto"/>
          <w:sz w:val="30"/>
          <w:szCs w:val="30"/>
          <w:u w:val="none" w:color="auto"/>
          <w:lang w:eastAsia="zh-CN"/>
        </w:rPr>
        <w:t>（九）负责</w:t>
      </w:r>
      <w:r>
        <w:rPr>
          <w:rFonts w:hint="eastAsia" w:asciiTheme="minorEastAsia" w:hAnsiTheme="minorEastAsia" w:eastAsiaTheme="minorEastAsia" w:cstheme="minorEastAsia"/>
          <w:color w:val="auto"/>
          <w:sz w:val="30"/>
          <w:szCs w:val="30"/>
          <w:highlight w:val="none"/>
          <w:u w:val="none" w:color="auto"/>
        </w:rPr>
        <w:t>投资项目</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u w:val="none" w:color="auto"/>
          <w:lang w:eastAsia="zh-CN"/>
        </w:rPr>
        <w:t>商事登记</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u w:val="none" w:color="auto"/>
          <w:lang w:eastAsia="zh-CN"/>
        </w:rPr>
        <w:t>市场服务、文教体卫、</w:t>
      </w:r>
      <w:r>
        <w:rPr>
          <w:rFonts w:hint="eastAsia" w:asciiTheme="minorEastAsia" w:hAnsiTheme="minorEastAsia" w:eastAsiaTheme="minorEastAsia" w:cstheme="minorEastAsia"/>
          <w:color w:val="auto"/>
          <w:sz w:val="30"/>
          <w:szCs w:val="30"/>
          <w:u w:val="none" w:color="auto"/>
        </w:rPr>
        <w:t>社会事务</w:t>
      </w:r>
      <w:r>
        <w:rPr>
          <w:rFonts w:hint="eastAsia" w:asciiTheme="minorEastAsia" w:hAnsiTheme="minorEastAsia" w:eastAsiaTheme="minorEastAsia" w:cstheme="minorEastAsia"/>
          <w:color w:val="auto"/>
          <w:sz w:val="30"/>
          <w:szCs w:val="30"/>
          <w:highlight w:val="none"/>
          <w:u w:val="none" w:color="auto"/>
          <w:lang w:eastAsia="zh-CN"/>
        </w:rPr>
        <w:t>、生态环境、安全生产、农林畜水、城市</w:t>
      </w:r>
      <w:r>
        <w:rPr>
          <w:rFonts w:hint="eastAsia" w:asciiTheme="minorEastAsia" w:hAnsiTheme="minorEastAsia" w:eastAsiaTheme="minorEastAsia" w:cstheme="minorEastAsia"/>
          <w:color w:val="auto"/>
          <w:sz w:val="30"/>
          <w:szCs w:val="30"/>
          <w:u w:val="none" w:color="auto"/>
          <w:lang w:eastAsia="zh-CN"/>
        </w:rPr>
        <w:t>管理、</w:t>
      </w:r>
      <w:r>
        <w:rPr>
          <w:rFonts w:hint="eastAsia" w:asciiTheme="minorEastAsia" w:hAnsiTheme="minorEastAsia" w:eastAsiaTheme="minorEastAsia" w:cstheme="minorEastAsia"/>
          <w:color w:val="auto"/>
          <w:sz w:val="30"/>
          <w:szCs w:val="30"/>
          <w:highlight w:val="none"/>
          <w:u w:val="none" w:color="auto"/>
          <w:lang w:eastAsia="zh-CN"/>
        </w:rPr>
        <w:t>住建</w:t>
      </w:r>
      <w:r>
        <w:rPr>
          <w:rFonts w:hint="eastAsia" w:asciiTheme="minorEastAsia" w:hAnsiTheme="minorEastAsia" w:eastAsiaTheme="minorEastAsia" w:cstheme="minorEastAsia"/>
          <w:color w:val="auto"/>
          <w:sz w:val="30"/>
          <w:szCs w:val="30"/>
          <w:u w:val="none" w:color="auto"/>
        </w:rPr>
        <w:t>等方面行政审批</w:t>
      </w:r>
      <w:r>
        <w:rPr>
          <w:rFonts w:hint="eastAsia" w:asciiTheme="minorEastAsia" w:hAnsiTheme="minorEastAsia" w:eastAsiaTheme="minorEastAsia" w:cstheme="minorEastAsia"/>
          <w:color w:val="auto"/>
          <w:sz w:val="30"/>
          <w:szCs w:val="30"/>
          <w:u w:val="none" w:color="auto"/>
          <w:lang w:eastAsia="zh-CN"/>
        </w:rPr>
        <w:t>事项的办理</w:t>
      </w:r>
      <w:r>
        <w:rPr>
          <w:rFonts w:hint="eastAsia" w:asciiTheme="minorEastAsia" w:hAnsiTheme="minorEastAsia" w:eastAsiaTheme="minorEastAsia" w:cstheme="minorEastAsia"/>
          <w:color w:val="auto"/>
          <w:sz w:val="30"/>
          <w:szCs w:val="30"/>
          <w:u w:val="none" w:color="auto"/>
        </w:rPr>
        <w:t>,并承担相应的法律责任。</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u w:val="none" w:color="auto"/>
          <w:shd w:val="clear" w:color="auto" w:fill="FFFFFF"/>
        </w:rPr>
      </w:pPr>
      <w:r>
        <w:rPr>
          <w:rFonts w:hint="eastAsia" w:asciiTheme="minorEastAsia" w:hAnsiTheme="minorEastAsia" w:eastAsiaTheme="minorEastAsia" w:cstheme="minorEastAsia"/>
          <w:color w:val="auto"/>
          <w:sz w:val="30"/>
          <w:szCs w:val="30"/>
          <w:u w:val="none" w:color="auto"/>
          <w:lang w:val="en-US" w:eastAsia="zh-CN"/>
        </w:rPr>
        <w:t>（</w:t>
      </w:r>
      <w:r>
        <w:rPr>
          <w:rFonts w:hint="eastAsia" w:asciiTheme="minorEastAsia" w:hAnsiTheme="minorEastAsia" w:eastAsiaTheme="minorEastAsia" w:cstheme="minorEastAsia"/>
          <w:color w:val="auto"/>
          <w:sz w:val="30"/>
          <w:szCs w:val="30"/>
          <w:u w:val="none" w:color="auto"/>
          <w:shd w:val="clear" w:color="auto" w:fill="FFFFFF"/>
          <w:lang w:eastAsia="zh-CN"/>
        </w:rPr>
        <w:t>十</w:t>
      </w:r>
      <w:r>
        <w:rPr>
          <w:rFonts w:hint="eastAsia" w:asciiTheme="minorEastAsia" w:hAnsiTheme="minorEastAsia" w:eastAsiaTheme="minorEastAsia" w:cstheme="minorEastAsia"/>
          <w:color w:val="auto"/>
          <w:sz w:val="30"/>
          <w:szCs w:val="30"/>
          <w:u w:val="none" w:color="auto"/>
          <w:lang w:val="en-US" w:eastAsia="zh-CN"/>
        </w:rPr>
        <w:t>）</w:t>
      </w:r>
      <w:r>
        <w:rPr>
          <w:rFonts w:hint="eastAsia" w:asciiTheme="minorEastAsia" w:hAnsiTheme="minorEastAsia" w:eastAsiaTheme="minorEastAsia" w:cstheme="minorEastAsia"/>
          <w:color w:val="auto"/>
          <w:sz w:val="30"/>
          <w:szCs w:val="30"/>
          <w:u w:val="none" w:color="auto"/>
          <w:shd w:val="clear" w:color="auto" w:fill="FFFFFF"/>
        </w:rPr>
        <w:t>负责行政审批</w:t>
      </w:r>
      <w:r>
        <w:rPr>
          <w:rFonts w:hint="eastAsia" w:asciiTheme="minorEastAsia" w:hAnsiTheme="minorEastAsia" w:eastAsiaTheme="minorEastAsia" w:cstheme="minorEastAsia"/>
          <w:color w:val="auto"/>
          <w:sz w:val="30"/>
          <w:szCs w:val="30"/>
          <w:u w:val="none" w:color="auto"/>
          <w:shd w:val="clear" w:color="auto" w:fill="FFFFFF"/>
          <w:lang w:val="en-US" w:eastAsia="zh-CN"/>
        </w:rPr>
        <w:t>信息</w:t>
      </w:r>
      <w:r>
        <w:rPr>
          <w:rFonts w:hint="eastAsia" w:asciiTheme="minorEastAsia" w:hAnsiTheme="minorEastAsia" w:eastAsiaTheme="minorEastAsia" w:cstheme="minorEastAsia"/>
          <w:color w:val="auto"/>
          <w:sz w:val="30"/>
          <w:szCs w:val="30"/>
          <w:u w:val="none" w:color="auto"/>
          <w:shd w:val="clear" w:color="auto" w:fill="FFFFFF"/>
        </w:rPr>
        <w:t>资料的保管、整理、统计、</w:t>
      </w:r>
      <w:r>
        <w:rPr>
          <w:rFonts w:hint="eastAsia" w:asciiTheme="minorEastAsia" w:hAnsiTheme="minorEastAsia" w:eastAsiaTheme="minorEastAsia" w:cstheme="minorEastAsia"/>
          <w:color w:val="auto"/>
          <w:sz w:val="30"/>
          <w:szCs w:val="30"/>
          <w:u w:val="none" w:color="auto"/>
          <w:shd w:val="clear" w:color="auto" w:fill="FFFFFF"/>
          <w:lang w:eastAsia="zh-CN"/>
        </w:rPr>
        <w:t>编目</w:t>
      </w:r>
      <w:r>
        <w:rPr>
          <w:rFonts w:hint="eastAsia" w:asciiTheme="minorEastAsia" w:hAnsiTheme="minorEastAsia" w:eastAsiaTheme="minorEastAsia" w:cstheme="minorEastAsia"/>
          <w:color w:val="auto"/>
          <w:sz w:val="30"/>
          <w:szCs w:val="30"/>
          <w:u w:val="none" w:color="auto"/>
          <w:shd w:val="clear" w:color="auto" w:fill="FFFFFF"/>
        </w:rPr>
        <w:t>和定期检查工作。</w:t>
      </w:r>
    </w:p>
    <w:p>
      <w:pPr>
        <w:keepNext w:val="0"/>
        <w:keepLines w:val="0"/>
        <w:pageBreakBefore w:val="0"/>
        <w:widowControl w:val="0"/>
        <w:kinsoku/>
        <w:wordWrap/>
        <w:overflowPunct/>
        <w:topLinePunct w:val="0"/>
        <w:autoSpaceDE/>
        <w:autoSpaceDN/>
        <w:bidi w:val="0"/>
        <w:spacing w:line="600" w:lineRule="exact"/>
        <w:ind w:firstLine="600" w:firstLineChars="200"/>
        <w:textAlignment w:val="auto"/>
        <w:rPr>
          <w:rFonts w:hint="eastAsia" w:asciiTheme="minorEastAsia" w:hAnsiTheme="minorEastAsia" w:eastAsiaTheme="minorEastAsia" w:cstheme="minorEastAsia"/>
          <w:color w:val="auto"/>
          <w:sz w:val="30"/>
          <w:szCs w:val="30"/>
          <w:highlight w:val="none"/>
          <w:u w:val="none" w:color="auto"/>
          <w:shd w:val="clear" w:color="auto" w:fill="FFFFFF"/>
          <w:lang w:val="en-US" w:eastAsia="zh-CN"/>
        </w:rPr>
      </w:pPr>
      <w:r>
        <w:rPr>
          <w:rFonts w:hint="eastAsia" w:asciiTheme="minorEastAsia" w:hAnsiTheme="minorEastAsia" w:eastAsiaTheme="minorEastAsia" w:cstheme="minorEastAsia"/>
          <w:color w:val="auto"/>
          <w:sz w:val="30"/>
          <w:szCs w:val="30"/>
          <w:u w:val="none" w:color="auto"/>
          <w:shd w:val="clear" w:color="auto" w:fill="FFFFFF"/>
          <w:lang w:eastAsia="zh-CN"/>
        </w:rPr>
        <w:t>（</w:t>
      </w:r>
      <w:r>
        <w:rPr>
          <w:rFonts w:hint="eastAsia" w:asciiTheme="minorEastAsia" w:hAnsiTheme="minorEastAsia" w:eastAsiaTheme="minorEastAsia" w:cstheme="minorEastAsia"/>
          <w:color w:val="auto"/>
          <w:sz w:val="30"/>
          <w:szCs w:val="30"/>
          <w:u w:val="none" w:color="auto"/>
        </w:rPr>
        <w:t>十</w:t>
      </w:r>
      <w:r>
        <w:rPr>
          <w:rFonts w:hint="eastAsia" w:asciiTheme="minorEastAsia" w:hAnsiTheme="minorEastAsia" w:eastAsiaTheme="minorEastAsia" w:cstheme="minorEastAsia"/>
          <w:color w:val="auto"/>
          <w:sz w:val="30"/>
          <w:szCs w:val="30"/>
          <w:u w:val="none" w:color="auto"/>
          <w:lang w:eastAsia="zh-CN"/>
        </w:rPr>
        <w:t>一</w:t>
      </w:r>
      <w:r>
        <w:rPr>
          <w:rFonts w:hint="eastAsia" w:asciiTheme="minorEastAsia" w:hAnsiTheme="minorEastAsia" w:eastAsiaTheme="minorEastAsia" w:cstheme="minorEastAsia"/>
          <w:color w:val="auto"/>
          <w:sz w:val="30"/>
          <w:szCs w:val="30"/>
          <w:u w:val="none" w:color="auto"/>
          <w:shd w:val="clear" w:color="auto" w:fill="FFFFFF"/>
          <w:lang w:eastAsia="zh-CN"/>
        </w:rPr>
        <w:t>）</w:t>
      </w:r>
      <w:r>
        <w:rPr>
          <w:rFonts w:hint="eastAsia" w:asciiTheme="minorEastAsia" w:hAnsiTheme="minorEastAsia" w:eastAsiaTheme="minorEastAsia" w:cstheme="minorEastAsia"/>
          <w:color w:val="auto"/>
          <w:sz w:val="30"/>
          <w:szCs w:val="30"/>
          <w:highlight w:val="none"/>
          <w:u w:val="none" w:color="auto"/>
          <w:shd w:val="clear" w:color="auto" w:fill="FFFFFF"/>
          <w:lang w:eastAsia="zh-CN"/>
        </w:rPr>
        <w:t>贯彻落实省数据和政务服务局、市行政审批局、市数据资源局对我区数据和政务服务、行政审批等工作的指导意见。</w:t>
      </w:r>
    </w:p>
    <w:p>
      <w:pPr>
        <w:keepNext w:val="0"/>
        <w:keepLines w:val="0"/>
        <w:pageBreakBefore w:val="0"/>
        <w:widowControl w:val="0"/>
        <w:kinsoku/>
        <w:wordWrap/>
        <w:overflowPunct/>
        <w:topLinePunct w:val="0"/>
        <w:autoSpaceDE/>
        <w:autoSpaceDN/>
        <w:bidi w:val="0"/>
        <w:spacing w:line="600" w:lineRule="exact"/>
        <w:ind w:firstLine="600" w:firstLineChars="200"/>
        <w:jc w:val="left"/>
        <w:textAlignment w:val="auto"/>
        <w:rPr>
          <w:rFonts w:hint="eastAsia" w:asciiTheme="minorEastAsia" w:hAnsiTheme="minorEastAsia" w:eastAsiaTheme="minorEastAsia" w:cstheme="minorEastAsia"/>
          <w:color w:val="auto"/>
          <w:sz w:val="30"/>
          <w:szCs w:val="30"/>
          <w:u w:val="none" w:color="auto"/>
        </w:rPr>
      </w:pPr>
      <w:r>
        <w:rPr>
          <w:rFonts w:hint="eastAsia" w:asciiTheme="minorEastAsia" w:hAnsiTheme="minorEastAsia" w:eastAsiaTheme="minorEastAsia" w:cstheme="minorEastAsia"/>
          <w:color w:val="auto"/>
          <w:sz w:val="30"/>
          <w:szCs w:val="30"/>
          <w:u w:val="none" w:color="auto"/>
        </w:rPr>
        <w:t>（十</w:t>
      </w:r>
      <w:r>
        <w:rPr>
          <w:rFonts w:hint="eastAsia" w:asciiTheme="minorEastAsia" w:hAnsiTheme="minorEastAsia" w:eastAsiaTheme="minorEastAsia" w:cstheme="minorEastAsia"/>
          <w:color w:val="auto"/>
          <w:sz w:val="30"/>
          <w:szCs w:val="30"/>
          <w:u w:val="none" w:color="auto"/>
          <w:lang w:eastAsia="zh-CN"/>
        </w:rPr>
        <w:t>二</w:t>
      </w:r>
      <w:r>
        <w:rPr>
          <w:rFonts w:hint="eastAsia" w:asciiTheme="minorEastAsia" w:hAnsiTheme="minorEastAsia" w:eastAsiaTheme="minorEastAsia" w:cstheme="minorEastAsia"/>
          <w:color w:val="auto"/>
          <w:sz w:val="30"/>
          <w:szCs w:val="30"/>
          <w:u w:val="none" w:color="auto"/>
        </w:rPr>
        <w:t>）</w:t>
      </w:r>
      <w:r>
        <w:rPr>
          <w:rFonts w:hint="eastAsia" w:asciiTheme="minorEastAsia" w:hAnsiTheme="minorEastAsia" w:eastAsiaTheme="minorEastAsia" w:cstheme="minorEastAsia"/>
          <w:color w:val="auto"/>
          <w:sz w:val="30"/>
          <w:szCs w:val="30"/>
          <w:highlight w:val="none"/>
          <w:u w:val="none" w:color="auto"/>
        </w:rPr>
        <w:t>承</w:t>
      </w:r>
      <w:r>
        <w:rPr>
          <w:rFonts w:hint="eastAsia" w:asciiTheme="minorEastAsia" w:hAnsiTheme="minorEastAsia" w:eastAsiaTheme="minorEastAsia" w:cstheme="minorEastAsia"/>
          <w:color w:val="auto"/>
          <w:sz w:val="30"/>
          <w:szCs w:val="30"/>
          <w:u w:val="none" w:color="auto"/>
        </w:rPr>
        <w:t>办</w:t>
      </w:r>
      <w:r>
        <w:rPr>
          <w:rFonts w:hint="eastAsia" w:asciiTheme="minorEastAsia" w:hAnsiTheme="minorEastAsia" w:eastAsiaTheme="minorEastAsia" w:cstheme="minorEastAsia"/>
          <w:color w:val="auto"/>
          <w:sz w:val="30"/>
          <w:szCs w:val="30"/>
          <w:u w:val="none" w:color="auto"/>
          <w:lang w:eastAsia="zh-CN"/>
        </w:rPr>
        <w:t>区委、</w:t>
      </w:r>
      <w:r>
        <w:rPr>
          <w:rFonts w:hint="eastAsia" w:asciiTheme="minorEastAsia" w:hAnsiTheme="minorEastAsia" w:eastAsiaTheme="minorEastAsia" w:cstheme="minorEastAsia"/>
          <w:color w:val="auto"/>
          <w:sz w:val="30"/>
          <w:szCs w:val="30"/>
          <w:u w:val="none" w:color="auto"/>
        </w:rPr>
        <w:t>区政府交办的其他</w:t>
      </w:r>
      <w:r>
        <w:rPr>
          <w:rFonts w:hint="eastAsia" w:asciiTheme="minorEastAsia" w:hAnsiTheme="minorEastAsia" w:eastAsiaTheme="minorEastAsia" w:cstheme="minorEastAsia"/>
          <w:color w:val="auto"/>
          <w:sz w:val="30"/>
          <w:szCs w:val="30"/>
          <w:u w:val="none" w:color="auto"/>
          <w:lang w:eastAsia="zh-CN"/>
        </w:rPr>
        <w:t>任务</w:t>
      </w:r>
      <w:r>
        <w:rPr>
          <w:rFonts w:hint="eastAsia" w:asciiTheme="minorEastAsia" w:hAnsiTheme="minorEastAsia" w:eastAsiaTheme="minorEastAsia" w:cstheme="minorEastAsia"/>
          <w:color w:val="auto"/>
          <w:sz w:val="30"/>
          <w:szCs w:val="30"/>
          <w:u w:val="none" w:color="auto"/>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（十三）与其他部门有关职责分工。</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与区委网信办、区政府办、区发改局在互联网建设与管理职责方面的分工。</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区委网信办负责维护互联网意识形态安全，监督管理互联网信息内容和网络舆情信息，组织协调互联网宣传和舆论引导工作，推动网络阵地和网络文明建设工作。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color w:val="000000"/>
          <w:sz w:val="30"/>
          <w:szCs w:val="30"/>
          <w:shd w:val="clear" w:color="auto" w:fill="FFFFFF"/>
          <w:lang w:val="en-US" w:eastAsia="zh-CN"/>
        </w:rPr>
      </w:pPr>
      <w:r>
        <w:rPr>
          <w:rFonts w:hint="eastAsia" w:asciiTheme="minorEastAsia" w:hAnsiTheme="minorEastAsia" w:eastAsiaTheme="minorEastAsia" w:cstheme="minorEastAsia"/>
          <w:color w:val="000000"/>
          <w:sz w:val="30"/>
          <w:szCs w:val="30"/>
          <w:shd w:val="clear" w:color="auto" w:fill="FFFFFF"/>
          <w:lang w:val="en-US" w:eastAsia="zh-CN"/>
        </w:rPr>
        <w:t>区政府办负责政府门户网站建设、管理和日常维护，政务内外网络建设管理和安全保障。</w:t>
      </w:r>
    </w:p>
    <w:p>
      <w:pPr>
        <w:keepNext w:val="0"/>
        <w:keepLines w:val="0"/>
        <w:pageBreakBefore w:val="0"/>
        <w:widowControl w:val="0"/>
        <w:kinsoku/>
        <w:wordWrap/>
        <w:overflowPunct/>
        <w:topLinePunct w:val="0"/>
        <w:autoSpaceDE/>
        <w:autoSpaceDN/>
        <w:bidi w:val="0"/>
        <w:adjustRightInd w:val="0"/>
        <w:snapToGrid w:val="0"/>
        <w:spacing w:line="560" w:lineRule="exact"/>
        <w:ind w:firstLine="600" w:firstLineChars="200"/>
        <w:jc w:val="both"/>
        <w:textAlignment w:val="auto"/>
        <w:outlineLvl w:val="9"/>
        <w:rPr>
          <w:rFonts w:hint="eastAsia" w:asciiTheme="minorEastAsia" w:hAnsiTheme="minorEastAsia" w:eastAsiaTheme="minorEastAsia" w:cstheme="minorEastAsia"/>
          <w:i w:val="0"/>
          <w:iCs w:val="0"/>
          <w:color w:val="000000"/>
          <w:sz w:val="30"/>
          <w:szCs w:val="30"/>
          <w:u w:val="none"/>
          <w:shd w:val="clear" w:color="auto" w:fill="FFFFFF"/>
          <w:lang w:val="en-US" w:eastAsia="zh-CN"/>
        </w:rPr>
      </w:pPr>
      <w:r>
        <w:rPr>
          <w:rFonts w:hint="eastAsia" w:asciiTheme="minorEastAsia" w:hAnsiTheme="minorEastAsia" w:eastAsiaTheme="minorEastAsia" w:cstheme="minorEastAsia"/>
          <w:i w:val="0"/>
          <w:iCs w:val="0"/>
          <w:color w:val="000000"/>
          <w:sz w:val="30"/>
          <w:szCs w:val="30"/>
          <w:u w:val="none"/>
          <w:shd w:val="clear" w:color="auto" w:fill="FFFFFF"/>
          <w:lang w:val="en-US" w:eastAsia="zh-CN"/>
        </w:rPr>
        <w:t>区发改局负责推动中小企业数字化转型等工作。</w:t>
      </w:r>
    </w:p>
    <w:p>
      <w:pPr>
        <w:pStyle w:val="2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石家庄市长安区数据和政务服务局机关本级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按照预算管理有关规定，目前单位预算的编制实行综合预算管理，即全部收入和支出都反映在预算中。</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1、收入说明</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反映本单位当年全部收入。2026年预算收入1744.76万元，其中：一般公共预算收入1744.76万元，基金预算收入0.00万元，国有资本经营预算收入0.00万元，财政专户核拨收入0.00万元，单位资金收入0.00万元，上年结转结余0.00万元。</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2、支出说明</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收支预算总表支出栏、基本支出表、项目支出表按经济分类和支出功能分类科目编制，反映石家庄市长安区数据和政务服务局机关本级年度单位预算中支出预算的总体情况。2026年支出预算1744.76万元，其中基本支出1352.40万元，包括人员经费1209.95万元和日常公用经费142.45万元；项目支出392.36万元，主要为食堂保安保洁经费92.36万元，行政审批政务服务经费300万元。；预计下年使用的单位资金结余0.00万元。委托业务费共计安排170.00万元，主要用于因技术原因确需对外委托的辅助性工作和确有必要对外委托开展咨询、评审、规划等工作。</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3、比上年增减情况</w:t>
      </w:r>
    </w:p>
    <w:p>
      <w:pPr>
        <w:pStyle w:val="29"/>
        <w:rPr>
          <w:rFonts w:hint="eastAsia" w:asciiTheme="minorEastAsia" w:hAnsiTheme="minorEastAsia" w:eastAsiaTheme="minorEastAsia" w:cstheme="minorEastAsia"/>
        </w:rPr>
      </w:pPr>
      <w:r>
        <w:rPr>
          <w:rFonts w:hint="eastAsia" w:asciiTheme="minorEastAsia" w:hAnsiTheme="minorEastAsia" w:eastAsiaTheme="minorEastAsia" w:cstheme="minorEastAsia"/>
        </w:rPr>
        <w:t>2026年预算收支安排1744.76万元，较2025年预算增加329.18万元，其中：基本支出增加31.62万元，主要为基本工资有所增加。项目支出增加297.56万元，主要为增加了行政审批政务服务经费300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lang w:eastAsia="zh-CN"/>
        </w:rPr>
        <w:t>2026</w:t>
      </w:r>
      <w:r>
        <w:rPr>
          <w:rFonts w:hint="eastAsia" w:asciiTheme="minorEastAsia" w:hAnsiTheme="minorEastAsia" w:eastAsiaTheme="minorEastAsia" w:cstheme="minorEastAsia"/>
        </w:rPr>
        <w:t>年，我部门机关运行经费共计安排1</w:t>
      </w:r>
      <w:r>
        <w:rPr>
          <w:rFonts w:hint="eastAsia" w:asciiTheme="minorEastAsia" w:hAnsiTheme="minorEastAsia" w:eastAsiaTheme="minorEastAsia" w:cstheme="minorEastAsia"/>
          <w:lang w:val="en-US" w:eastAsia="zh-CN"/>
        </w:rPr>
        <w:t>42.45</w:t>
      </w:r>
      <w:r>
        <w:rPr>
          <w:rFonts w:hint="eastAsia" w:asciiTheme="minorEastAsia" w:hAnsiTheme="minorEastAsia" w:eastAsiaTheme="minorEastAsia" w:cstheme="minorEastAsia"/>
        </w:rPr>
        <w:t>万元，主要用于日常办公费、印刷费、水费、电费、邮电费、办公取暖费、差旅费、维修费、会议费、培训费、公务接待费、工会会费、公务用车运行维护费、</w:t>
      </w:r>
      <w:r>
        <w:rPr>
          <w:rFonts w:hint="eastAsia" w:asciiTheme="minorEastAsia" w:hAnsiTheme="minorEastAsia" w:eastAsiaTheme="minorEastAsia" w:cstheme="minorEastAsia"/>
          <w:lang w:eastAsia="zh-CN"/>
        </w:rPr>
        <w:t>其他</w:t>
      </w:r>
      <w:r>
        <w:rPr>
          <w:rFonts w:hint="eastAsia" w:asciiTheme="minorEastAsia" w:hAnsiTheme="minorEastAsia" w:eastAsiaTheme="minorEastAsia" w:cstheme="minorEastAsia"/>
        </w:rPr>
        <w:t>交通</w:t>
      </w:r>
      <w:r>
        <w:rPr>
          <w:rFonts w:hint="eastAsia" w:asciiTheme="minorEastAsia" w:hAnsiTheme="minorEastAsia" w:eastAsiaTheme="minorEastAsia" w:cstheme="minorEastAsia"/>
          <w:lang w:eastAsia="zh-CN"/>
        </w:rPr>
        <w:t>费用、其他商品和服务支出</w:t>
      </w: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eastAsia="zh-CN"/>
        </w:rPr>
        <w:t>较上年减少</w:t>
      </w:r>
      <w:r>
        <w:rPr>
          <w:rFonts w:hint="eastAsia" w:asciiTheme="minorEastAsia" w:hAnsiTheme="minorEastAsia" w:eastAsiaTheme="minorEastAsia" w:cstheme="minorEastAsia"/>
          <w:lang w:val="en-US" w:eastAsia="zh-CN"/>
        </w:rPr>
        <w:t>0.47万元，</w:t>
      </w:r>
      <w:r>
        <w:rPr>
          <w:rFonts w:hint="eastAsia" w:asciiTheme="minorEastAsia" w:hAnsiTheme="minorEastAsia" w:eastAsiaTheme="minorEastAsia" w:cstheme="minorEastAsia"/>
          <w:lang w:eastAsia="zh-CN"/>
        </w:rPr>
        <w:t>主要原因是厉行节约，认真落实过紧日子思想</w:t>
      </w:r>
      <w:r>
        <w:rPr>
          <w:rFonts w:hint="eastAsia" w:asciiTheme="minorEastAsia" w:hAnsiTheme="minorEastAsia" w:eastAsiaTheme="minorEastAsia" w:cstheme="minorEastAsia"/>
        </w:rPr>
        <w:t>。</w:t>
      </w:r>
    </w:p>
    <w:p>
      <w:pPr>
        <w:pStyle w:val="3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eastAsia" w:asciiTheme="minorEastAsia" w:hAnsiTheme="minorEastAsia" w:eastAsiaTheme="minorEastAsia" w:cstheme="minorEastAsia"/>
        </w:rPr>
      </w:pPr>
      <w:r>
        <w:rPr>
          <w:rFonts w:hint="eastAsia" w:asciiTheme="minorEastAsia" w:hAnsiTheme="minorEastAsia" w:eastAsiaTheme="minorEastAsia" w:cstheme="minorEastAsia"/>
        </w:rPr>
        <w:t>2026年，我单位财政拨款“三公”经费预算安排2.98万元，其中因公出国（境）费0.00万元；公务用车购置及运维费2.42万元（其中：公务用车购置费为0.00万元，公务用车运维费2.42万元)；公务接待费0.56万元。与2025年相比减少0.09万元，增减变化的主要原因是公务用车运行维护费比上年减少了0.07万元，公务接待费比上年减少了0.02万元。主要原因是厉行节约，认真落实过紧日子思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1、食堂保安保洁经费绩效目标表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13010226P00011110003E</w:t>
            </w:r>
          </w:p>
        </w:tc>
        <w:tc>
          <w:tcPr>
            <w:tcW w:w="2835" w:type="dxa"/>
            <w:vAlign w:val="center"/>
          </w:tcPr>
          <w:p>
            <w:pPr>
              <w:pStyle w:val="13"/>
            </w:pPr>
            <w:r>
              <w:t>项目名称</w:t>
            </w:r>
          </w:p>
        </w:tc>
        <w:tc>
          <w:tcPr>
            <w:tcW w:w="6095" w:type="dxa"/>
            <w:gridSpan w:val="3"/>
            <w:vAlign w:val="center"/>
          </w:tcPr>
          <w:p>
            <w:pPr>
              <w:pStyle w:val="15"/>
            </w:pPr>
            <w:r>
              <w:t>食堂保安保洁经费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92.36</w:t>
            </w:r>
          </w:p>
        </w:tc>
        <w:tc>
          <w:tcPr>
            <w:tcW w:w="2835" w:type="dxa"/>
            <w:vAlign w:val="center"/>
          </w:tcPr>
          <w:p>
            <w:pPr>
              <w:pStyle w:val="13"/>
            </w:pPr>
            <w:r>
              <w:t>其中：财政    资金</w:t>
            </w:r>
          </w:p>
        </w:tc>
        <w:tc>
          <w:tcPr>
            <w:tcW w:w="2551" w:type="dxa"/>
            <w:vAlign w:val="center"/>
          </w:tcPr>
          <w:p>
            <w:pPr>
              <w:pStyle w:val="15"/>
            </w:pPr>
            <w:r>
              <w:t>92.36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用于购买食材、燃气等，支付食堂、保安、保洁人员工资。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1.目标内容1能够为工作人员提供健康安全的工作餐</w:t>
            </w:r>
          </w:p>
          <w:p>
            <w:pPr>
              <w:pStyle w:val="15"/>
            </w:pPr>
            <w:r>
              <w:t>2.目标内容2能保证整洁的工作环境，保障办公场所的安全和正常秩序。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完成食堂、保安保洁的工作任务</w:t>
            </w:r>
          </w:p>
        </w:tc>
        <w:tc>
          <w:tcPr>
            <w:tcW w:w="5386" w:type="dxa"/>
            <w:vAlign w:val="center"/>
          </w:tcPr>
          <w:p>
            <w:pPr>
              <w:pStyle w:val="15"/>
            </w:pPr>
            <w:r>
              <w:t>完成食堂、保安保洁的工作任务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保障达到工作要求</w:t>
            </w:r>
          </w:p>
        </w:tc>
        <w:tc>
          <w:tcPr>
            <w:tcW w:w="5386" w:type="dxa"/>
            <w:vAlign w:val="center"/>
          </w:tcPr>
          <w:p>
            <w:pPr>
              <w:pStyle w:val="15"/>
            </w:pPr>
            <w:r>
              <w:t>保障达到工作要求</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及时提供餐饮和保安保洁服务</w:t>
            </w:r>
          </w:p>
        </w:tc>
        <w:tc>
          <w:tcPr>
            <w:tcW w:w="5386" w:type="dxa"/>
            <w:vAlign w:val="center"/>
          </w:tcPr>
          <w:p>
            <w:pPr>
              <w:pStyle w:val="15"/>
            </w:pPr>
            <w:r>
              <w:t>及时提供餐饮和保安保洁服务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保障食堂及工作场所的正常运转</w:t>
            </w:r>
          </w:p>
        </w:tc>
        <w:tc>
          <w:tcPr>
            <w:tcW w:w="5386" w:type="dxa"/>
            <w:vAlign w:val="center"/>
          </w:tcPr>
          <w:p>
            <w:pPr>
              <w:pStyle w:val="15"/>
            </w:pPr>
            <w:r>
              <w:t>保障食堂及工作场所的正常运转</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树立政府部门良好的社会形象</w:t>
            </w:r>
          </w:p>
        </w:tc>
        <w:tc>
          <w:tcPr>
            <w:tcW w:w="5386" w:type="dxa"/>
            <w:vAlign w:val="center"/>
          </w:tcPr>
          <w:p>
            <w:pPr>
              <w:pStyle w:val="15"/>
            </w:pPr>
            <w:r>
              <w:t>树立政府部门良好的社会形象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持续提供餐饮、保安保洁服务</w:t>
            </w:r>
          </w:p>
        </w:tc>
        <w:tc>
          <w:tcPr>
            <w:tcW w:w="5386" w:type="dxa"/>
            <w:vAlign w:val="center"/>
          </w:tcPr>
          <w:p>
            <w:pPr>
              <w:pStyle w:val="15"/>
            </w:pPr>
            <w:r>
              <w:t>持续提供餐饮、保安保洁服务</w:t>
            </w:r>
          </w:p>
        </w:tc>
        <w:tc>
          <w:tcPr>
            <w:tcW w:w="2268" w:type="dxa"/>
            <w:vAlign w:val="center"/>
          </w:tcPr>
          <w:p>
            <w:pPr>
              <w:pStyle w:val="15"/>
            </w:pPr>
            <w:r>
              <w:t>100%</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2、行政审批政务服务经费绩效目标表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13010226P00011110002T</w:t>
            </w:r>
          </w:p>
        </w:tc>
        <w:tc>
          <w:tcPr>
            <w:tcW w:w="2835" w:type="dxa"/>
            <w:vAlign w:val="center"/>
          </w:tcPr>
          <w:p>
            <w:pPr>
              <w:pStyle w:val="13"/>
            </w:pPr>
            <w:r>
              <w:t>项目名称</w:t>
            </w:r>
          </w:p>
        </w:tc>
        <w:tc>
          <w:tcPr>
            <w:tcW w:w="6095" w:type="dxa"/>
            <w:gridSpan w:val="3"/>
            <w:vAlign w:val="center"/>
          </w:tcPr>
          <w:p>
            <w:pPr>
              <w:pStyle w:val="15"/>
            </w:pPr>
            <w:r>
              <w:t>行政审批政务服务经费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主要用于支付水电冷气维修等运行费、第三方服务费、政务大厅智能提升等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1.目标内容1完成政务大厅的智能化提升</w:t>
            </w:r>
            <w:r>
              <w:tab/>
            </w:r>
            <w:r>
              <w:tab/>
            </w:r>
            <w:r>
              <w:tab/>
            </w:r>
            <w:r>
              <w:tab/>
            </w:r>
            <w:r>
              <w:tab/>
            </w:r>
            <w:r>
              <w:tab/>
            </w:r>
          </w:p>
          <w:p>
            <w:pPr>
              <w:pStyle w:val="15"/>
            </w:pPr>
            <w:r>
              <w:t>2.目标内容2保障政务服务大厅正常运转</w:t>
            </w:r>
            <w:r>
              <w:tab/>
            </w:r>
          </w:p>
          <w:p>
            <w:pPr>
              <w:pStyle w:val="15"/>
            </w:pPr>
            <w:r>
              <w:t>3.目标内容3保障提供完成审批业务的项目评审、审计服务、律师服务、印刷服务等第三方服务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完成各项工作任务</w:t>
            </w:r>
          </w:p>
        </w:tc>
        <w:tc>
          <w:tcPr>
            <w:tcW w:w="5386" w:type="dxa"/>
            <w:vAlign w:val="center"/>
          </w:tcPr>
          <w:p>
            <w:pPr>
              <w:pStyle w:val="15"/>
            </w:pPr>
            <w:r>
              <w:t>完成各项工作任务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保障各项工作任务的质量</w:t>
            </w:r>
          </w:p>
        </w:tc>
        <w:tc>
          <w:tcPr>
            <w:tcW w:w="5386" w:type="dxa"/>
            <w:vAlign w:val="center"/>
          </w:tcPr>
          <w:p>
            <w:pPr>
              <w:pStyle w:val="15"/>
            </w:pPr>
            <w:r>
              <w:t>保障各项工作任务的质量</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按时限要求完成各项工作任务</w:t>
            </w:r>
          </w:p>
        </w:tc>
        <w:tc>
          <w:tcPr>
            <w:tcW w:w="5386" w:type="dxa"/>
            <w:vAlign w:val="center"/>
          </w:tcPr>
          <w:p>
            <w:pPr>
              <w:pStyle w:val="15"/>
            </w:pPr>
            <w:r>
              <w:t>按时限要求完成各项工作任务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厉行节约，不超预算支出</w:t>
            </w:r>
          </w:p>
        </w:tc>
        <w:tc>
          <w:tcPr>
            <w:tcW w:w="5386" w:type="dxa"/>
            <w:vAlign w:val="center"/>
          </w:tcPr>
          <w:p>
            <w:pPr>
              <w:pStyle w:val="15"/>
            </w:pPr>
            <w:r>
              <w:t>厉行节约，不超预算支出</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树立政府良好社会形象</w:t>
            </w:r>
          </w:p>
        </w:tc>
        <w:tc>
          <w:tcPr>
            <w:tcW w:w="5386" w:type="dxa"/>
            <w:vAlign w:val="center"/>
          </w:tcPr>
          <w:p>
            <w:pPr>
              <w:pStyle w:val="15"/>
            </w:pPr>
            <w:r>
              <w:t>树立政府良好社会形象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树立政府良好社会形象</w:t>
            </w:r>
          </w:p>
        </w:tc>
        <w:tc>
          <w:tcPr>
            <w:tcW w:w="5386" w:type="dxa"/>
            <w:vAlign w:val="center"/>
          </w:tcPr>
          <w:p>
            <w:pPr>
              <w:pStyle w:val="15"/>
            </w:pPr>
            <w:r>
              <w:t>树立政府良好社会形象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持续提供相关服务，树立政府良好形象</w:t>
            </w:r>
          </w:p>
        </w:tc>
        <w:tc>
          <w:tcPr>
            <w:tcW w:w="5386" w:type="dxa"/>
            <w:vAlign w:val="center"/>
          </w:tcPr>
          <w:p>
            <w:pPr>
              <w:pStyle w:val="15"/>
            </w:pPr>
            <w:r>
              <w:t>持续提供相关服务，树立政府良好形象</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5386" w:type="dxa"/>
            <w:vAlign w:val="center"/>
          </w:tcPr>
          <w:p>
            <w:pPr>
              <w:pStyle w:val="15"/>
            </w:pPr>
            <w:r>
              <w:t>服务对象满意率</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224001石家庄市长安区</w:t>
            </w:r>
            <w:r>
              <w:rPr>
                <w:b/>
                <w:bCs/>
              </w:rPr>
              <w:t>数据和</w:t>
            </w:r>
            <w:r>
              <w:t>政</w:t>
            </w:r>
            <w:r>
              <w:rPr>
                <w:b/>
                <w:bCs/>
              </w:rPr>
              <w:t>务服务局</w:t>
            </w:r>
            <w:r>
              <w:t>机</w:t>
            </w:r>
            <w:r>
              <w:rPr>
                <w:b/>
                <w:bCs/>
              </w:rPr>
              <w:t>关</w:t>
            </w:r>
            <w:r>
              <w:t>本级</w:t>
            </w:r>
          </w:p>
        </w:tc>
        <w:tc>
          <w:tcPr>
            <w:tcW w:w="8676" w:type="dxa"/>
            <w:gridSpan w:val="9"/>
            <w:tcBorders>
              <w:top w:val="single" w:color="FFFFFF" w:sz="6" w:space="0"/>
              <w:left w:val="single" w:color="FFFFFF" w:sz="6" w:space="0"/>
              <w:right w:val="single" w:color="FFFFFF" w:sz="6" w:space="0"/>
            </w:tcBorders>
            <w:vAlign w:val="center"/>
          </w:tcPr>
          <w:p>
            <w:pPr>
              <w:pStyle w:val="27"/>
            </w:pPr>
            <w:r>
              <w:rPr>
                <w:b/>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299.99</w:t>
            </w:r>
          </w:p>
        </w:tc>
        <w:tc>
          <w:tcPr>
            <w:tcW w:w="964" w:type="dxa"/>
            <w:vAlign w:val="center"/>
          </w:tcPr>
          <w:p>
            <w:pPr>
              <w:pStyle w:val="18"/>
            </w:pPr>
            <w:r>
              <w:t>299.99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299.99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石家庄市长安区数据和政务服务局机关本级小计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299.99</w:t>
            </w:r>
          </w:p>
        </w:tc>
        <w:tc>
          <w:tcPr>
            <w:tcW w:w="964" w:type="dxa"/>
            <w:vAlign w:val="center"/>
          </w:tcPr>
          <w:p>
            <w:pPr>
              <w:pStyle w:val="18"/>
            </w:pPr>
            <w:r>
              <w:t>299.99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299.99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办公椅</w:t>
            </w:r>
          </w:p>
        </w:tc>
        <w:tc>
          <w:tcPr>
            <w:tcW w:w="1134" w:type="dxa"/>
            <w:vAlign w:val="center"/>
          </w:tcPr>
          <w:p>
            <w:pPr>
              <w:pStyle w:val="15"/>
            </w:pPr>
            <w:r>
              <w:t>A05010301</w:t>
            </w:r>
          </w:p>
        </w:tc>
        <w:tc>
          <w:tcPr>
            <w:tcW w:w="709" w:type="dxa"/>
            <w:vAlign w:val="center"/>
          </w:tcPr>
          <w:p>
            <w:pPr>
              <w:pStyle w:val="16"/>
            </w:pPr>
            <w:r>
              <w:t>件</w:t>
            </w:r>
          </w:p>
        </w:tc>
        <w:tc>
          <w:tcPr>
            <w:tcW w:w="850" w:type="dxa"/>
            <w:vAlign w:val="center"/>
          </w:tcPr>
          <w:p>
            <w:pPr>
              <w:pStyle w:val="14"/>
            </w:pPr>
            <w:r>
              <w:t>6</w:t>
            </w:r>
          </w:p>
        </w:tc>
        <w:tc>
          <w:tcPr>
            <w:tcW w:w="850" w:type="dxa"/>
            <w:vAlign w:val="center"/>
          </w:tcPr>
          <w:p>
            <w:pPr>
              <w:pStyle w:val="14"/>
            </w:pPr>
            <w:r>
              <w:t>0.08</w:t>
            </w:r>
          </w:p>
        </w:tc>
        <w:tc>
          <w:tcPr>
            <w:tcW w:w="964" w:type="dxa"/>
            <w:vAlign w:val="center"/>
          </w:tcPr>
          <w:p>
            <w:pPr>
              <w:pStyle w:val="14"/>
            </w:pPr>
            <w:r>
              <w:t>0.48</w:t>
            </w:r>
          </w:p>
        </w:tc>
        <w:tc>
          <w:tcPr>
            <w:tcW w:w="964" w:type="dxa"/>
            <w:vAlign w:val="center"/>
          </w:tcPr>
          <w:p>
            <w:pPr>
              <w:pStyle w:val="14"/>
            </w:pPr>
            <w:r>
              <w:t>0.48</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2.00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其他硒鼓、粉盒</w:t>
            </w:r>
          </w:p>
        </w:tc>
        <w:tc>
          <w:tcPr>
            <w:tcW w:w="1134" w:type="dxa"/>
            <w:vAlign w:val="center"/>
          </w:tcPr>
          <w:p>
            <w:pPr>
              <w:pStyle w:val="15"/>
            </w:pPr>
            <w:r>
              <w:t>A05040299</w:t>
            </w:r>
          </w:p>
        </w:tc>
        <w:tc>
          <w:tcPr>
            <w:tcW w:w="709" w:type="dxa"/>
            <w:vAlign w:val="center"/>
          </w:tcPr>
          <w:p>
            <w:pPr>
              <w:pStyle w:val="16"/>
            </w:pPr>
            <w:r>
              <w:t>件</w:t>
            </w:r>
          </w:p>
        </w:tc>
        <w:tc>
          <w:tcPr>
            <w:tcW w:w="850" w:type="dxa"/>
            <w:vAlign w:val="center"/>
          </w:tcPr>
          <w:p>
            <w:pPr>
              <w:pStyle w:val="14"/>
            </w:pPr>
            <w:r>
              <w:t>1</w:t>
            </w:r>
          </w:p>
        </w:tc>
        <w:tc>
          <w:tcPr>
            <w:tcW w:w="850" w:type="dxa"/>
            <w:vAlign w:val="center"/>
          </w:tcPr>
          <w:p>
            <w:pPr>
              <w:pStyle w:val="14"/>
            </w:pPr>
            <w:r>
              <w:t>1.83</w:t>
            </w:r>
          </w:p>
        </w:tc>
        <w:tc>
          <w:tcPr>
            <w:tcW w:w="964" w:type="dxa"/>
            <w:vAlign w:val="center"/>
          </w:tcPr>
          <w:p>
            <w:pPr>
              <w:pStyle w:val="14"/>
            </w:pPr>
            <w:r>
              <w:t>1.83</w:t>
            </w:r>
          </w:p>
        </w:tc>
        <w:tc>
          <w:tcPr>
            <w:tcW w:w="964" w:type="dxa"/>
            <w:vAlign w:val="center"/>
          </w:tcPr>
          <w:p>
            <w:pPr>
              <w:pStyle w:val="14"/>
            </w:pPr>
            <w:r>
              <w:t>1.83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件</w:t>
            </w:r>
          </w:p>
        </w:tc>
        <w:tc>
          <w:tcPr>
            <w:tcW w:w="850" w:type="dxa"/>
            <w:vAlign w:val="center"/>
          </w:tcPr>
          <w:p>
            <w:pPr>
              <w:pStyle w:val="14"/>
            </w:pPr>
            <w:r>
              <w:t>1</w:t>
            </w:r>
          </w:p>
        </w:tc>
        <w:tc>
          <w:tcPr>
            <w:tcW w:w="850" w:type="dxa"/>
            <w:vAlign w:val="center"/>
          </w:tcPr>
          <w:p>
            <w:pPr>
              <w:pStyle w:val="14"/>
            </w:pPr>
            <w:r>
              <w:t>2.00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基础电信服务</w:t>
            </w:r>
          </w:p>
        </w:tc>
        <w:tc>
          <w:tcPr>
            <w:tcW w:w="1134" w:type="dxa"/>
            <w:vAlign w:val="center"/>
          </w:tcPr>
          <w:p>
            <w:pPr>
              <w:pStyle w:val="15"/>
            </w:pPr>
            <w:r>
              <w:t>C17010100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23.00</w:t>
            </w:r>
          </w:p>
        </w:tc>
        <w:tc>
          <w:tcPr>
            <w:tcW w:w="964" w:type="dxa"/>
            <w:vAlign w:val="center"/>
          </w:tcPr>
          <w:p>
            <w:pPr>
              <w:pStyle w:val="14"/>
            </w:pPr>
            <w:r>
              <w:t>23.00</w:t>
            </w:r>
          </w:p>
        </w:tc>
        <w:tc>
          <w:tcPr>
            <w:tcW w:w="964" w:type="dxa"/>
            <w:vAlign w:val="center"/>
          </w:tcPr>
          <w:p>
            <w:pPr>
              <w:pStyle w:val="14"/>
            </w:pPr>
            <w:r>
              <w:t>23.00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财产保险服务</w:t>
            </w:r>
          </w:p>
        </w:tc>
        <w:tc>
          <w:tcPr>
            <w:tcW w:w="1134" w:type="dxa"/>
            <w:vAlign w:val="center"/>
          </w:tcPr>
          <w:p>
            <w:pPr>
              <w:pStyle w:val="15"/>
            </w:pPr>
            <w:r>
              <w:t>C18040102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0.42</w:t>
            </w:r>
          </w:p>
        </w:tc>
        <w:tc>
          <w:tcPr>
            <w:tcW w:w="964" w:type="dxa"/>
            <w:vAlign w:val="center"/>
          </w:tcPr>
          <w:p>
            <w:pPr>
              <w:pStyle w:val="14"/>
            </w:pPr>
            <w:r>
              <w:t>0.42</w:t>
            </w:r>
          </w:p>
        </w:tc>
        <w:tc>
          <w:tcPr>
            <w:tcW w:w="964" w:type="dxa"/>
            <w:vAlign w:val="center"/>
          </w:tcPr>
          <w:p>
            <w:pPr>
              <w:pStyle w:val="14"/>
            </w:pPr>
            <w:r>
              <w:t>0.42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1.20</w:t>
            </w:r>
          </w:p>
        </w:tc>
        <w:tc>
          <w:tcPr>
            <w:tcW w:w="964" w:type="dxa"/>
            <w:vAlign w:val="center"/>
          </w:tcPr>
          <w:p>
            <w:pPr>
              <w:pStyle w:val="14"/>
            </w:pPr>
            <w:r>
              <w:t>1.20</w:t>
            </w:r>
          </w:p>
        </w:tc>
        <w:tc>
          <w:tcPr>
            <w:tcW w:w="964" w:type="dxa"/>
            <w:vAlign w:val="center"/>
          </w:tcPr>
          <w:p>
            <w:pPr>
              <w:pStyle w:val="14"/>
            </w:pPr>
            <w:r>
              <w:t>1.20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公用项目1</w:t>
            </w:r>
          </w:p>
        </w:tc>
        <w:tc>
          <w:tcPr>
            <w:tcW w:w="964" w:type="dxa"/>
            <w:vAlign w:val="center"/>
          </w:tcPr>
          <w:p>
            <w:pPr>
              <w:pStyle w:val="14"/>
            </w:pPr>
            <w:r>
              <w:t>76.85</w:t>
            </w:r>
          </w:p>
        </w:tc>
        <w:tc>
          <w:tcPr>
            <w:tcW w:w="1134" w:type="dxa"/>
            <w:vAlign w:val="center"/>
          </w:tcPr>
          <w:p>
            <w:pPr>
              <w:pStyle w:val="15"/>
            </w:pPr>
            <w:r>
              <w:t>车辆加油、添加燃料服务</w:t>
            </w:r>
          </w:p>
        </w:tc>
        <w:tc>
          <w:tcPr>
            <w:tcW w:w="1134" w:type="dxa"/>
            <w:vAlign w:val="center"/>
          </w:tcPr>
          <w:p>
            <w:pPr>
              <w:pStyle w:val="15"/>
            </w:pPr>
            <w:r>
              <w:t>C23120302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2.50</w:t>
            </w:r>
          </w:p>
        </w:tc>
        <w:tc>
          <w:tcPr>
            <w:tcW w:w="964" w:type="dxa"/>
            <w:vAlign w:val="center"/>
          </w:tcPr>
          <w:p>
            <w:pPr>
              <w:pStyle w:val="14"/>
            </w:pPr>
            <w:r>
              <w:t>2.50</w:t>
            </w:r>
          </w:p>
        </w:tc>
        <w:tc>
          <w:tcPr>
            <w:tcW w:w="964" w:type="dxa"/>
            <w:vAlign w:val="center"/>
          </w:tcPr>
          <w:p>
            <w:pPr>
              <w:pStyle w:val="14"/>
            </w:pPr>
            <w:r>
              <w:t>2.50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其他清洁用品</w:t>
            </w:r>
          </w:p>
        </w:tc>
        <w:tc>
          <w:tcPr>
            <w:tcW w:w="1134" w:type="dxa"/>
            <w:vAlign w:val="center"/>
          </w:tcPr>
          <w:p>
            <w:pPr>
              <w:pStyle w:val="15"/>
            </w:pPr>
            <w:r>
              <w:t>A05040599</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0.50</w:t>
            </w:r>
          </w:p>
        </w:tc>
        <w:tc>
          <w:tcPr>
            <w:tcW w:w="964" w:type="dxa"/>
            <w:vAlign w:val="center"/>
          </w:tcPr>
          <w:p>
            <w:pPr>
              <w:pStyle w:val="14"/>
            </w:pPr>
            <w:r>
              <w:t>0.50</w:t>
            </w: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公用项目2</w:t>
            </w:r>
          </w:p>
        </w:tc>
        <w:tc>
          <w:tcPr>
            <w:tcW w:w="964" w:type="dxa"/>
            <w:vAlign w:val="center"/>
          </w:tcPr>
          <w:p>
            <w:pPr>
              <w:pStyle w:val="14"/>
            </w:pPr>
            <w:r>
              <w:t>65.61</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4.14</w:t>
            </w:r>
          </w:p>
        </w:tc>
        <w:tc>
          <w:tcPr>
            <w:tcW w:w="964" w:type="dxa"/>
            <w:vAlign w:val="center"/>
          </w:tcPr>
          <w:p>
            <w:pPr>
              <w:pStyle w:val="14"/>
            </w:pPr>
            <w:r>
              <w:t>4.14</w:t>
            </w:r>
          </w:p>
        </w:tc>
        <w:tc>
          <w:tcPr>
            <w:tcW w:w="964" w:type="dxa"/>
            <w:vAlign w:val="center"/>
          </w:tcPr>
          <w:p>
            <w:pPr>
              <w:pStyle w:val="14"/>
            </w:pPr>
            <w:r>
              <w:t>4.14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食堂保安保洁经费</w:t>
            </w:r>
          </w:p>
        </w:tc>
        <w:tc>
          <w:tcPr>
            <w:tcW w:w="964" w:type="dxa"/>
            <w:vAlign w:val="center"/>
          </w:tcPr>
          <w:p>
            <w:pPr>
              <w:pStyle w:val="14"/>
            </w:pPr>
            <w:r>
              <w:t>92.36</w:t>
            </w:r>
          </w:p>
        </w:tc>
        <w:tc>
          <w:tcPr>
            <w:tcW w:w="1134" w:type="dxa"/>
            <w:vAlign w:val="center"/>
          </w:tcPr>
          <w:p>
            <w:pPr>
              <w:pStyle w:val="15"/>
            </w:pPr>
            <w:r>
              <w:t>保安服务</w:t>
            </w:r>
          </w:p>
        </w:tc>
        <w:tc>
          <w:tcPr>
            <w:tcW w:w="1134" w:type="dxa"/>
            <w:vAlign w:val="center"/>
          </w:tcPr>
          <w:p>
            <w:pPr>
              <w:pStyle w:val="15"/>
            </w:pPr>
            <w:r>
              <w:t>C05040300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28.80</w:t>
            </w:r>
          </w:p>
        </w:tc>
        <w:tc>
          <w:tcPr>
            <w:tcW w:w="964" w:type="dxa"/>
            <w:vAlign w:val="center"/>
          </w:tcPr>
          <w:p>
            <w:pPr>
              <w:pStyle w:val="14"/>
            </w:pPr>
            <w:r>
              <w:t>28.80</w:t>
            </w:r>
          </w:p>
        </w:tc>
        <w:tc>
          <w:tcPr>
            <w:tcW w:w="964" w:type="dxa"/>
            <w:vAlign w:val="center"/>
          </w:tcPr>
          <w:p>
            <w:pPr>
              <w:pStyle w:val="14"/>
            </w:pPr>
            <w:r>
              <w:t>28.80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食堂保安保洁经费</w:t>
            </w:r>
          </w:p>
        </w:tc>
        <w:tc>
          <w:tcPr>
            <w:tcW w:w="964" w:type="dxa"/>
            <w:vAlign w:val="center"/>
          </w:tcPr>
          <w:p>
            <w:pPr>
              <w:pStyle w:val="14"/>
            </w:pPr>
            <w:r>
              <w:t>92.36</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14.40</w:t>
            </w:r>
          </w:p>
        </w:tc>
        <w:tc>
          <w:tcPr>
            <w:tcW w:w="964" w:type="dxa"/>
            <w:vAlign w:val="center"/>
          </w:tcPr>
          <w:p>
            <w:pPr>
              <w:pStyle w:val="14"/>
            </w:pPr>
            <w:r>
              <w:t>14.40</w:t>
            </w:r>
          </w:p>
        </w:tc>
        <w:tc>
          <w:tcPr>
            <w:tcW w:w="964" w:type="dxa"/>
            <w:vAlign w:val="center"/>
          </w:tcPr>
          <w:p>
            <w:pPr>
              <w:pStyle w:val="14"/>
            </w:pPr>
            <w:r>
              <w:t>14.40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其他网络设备</w:t>
            </w:r>
          </w:p>
        </w:tc>
        <w:tc>
          <w:tcPr>
            <w:tcW w:w="1134" w:type="dxa"/>
            <w:vAlign w:val="center"/>
          </w:tcPr>
          <w:p>
            <w:pPr>
              <w:pStyle w:val="15"/>
            </w:pPr>
            <w:r>
              <w:t>A02010299</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9.00</w:t>
            </w:r>
          </w:p>
        </w:tc>
        <w:tc>
          <w:tcPr>
            <w:tcW w:w="964" w:type="dxa"/>
            <w:vAlign w:val="center"/>
          </w:tcPr>
          <w:p>
            <w:pPr>
              <w:pStyle w:val="14"/>
            </w:pPr>
            <w:r>
              <w:t>9.00</w:t>
            </w:r>
          </w:p>
        </w:tc>
        <w:tc>
          <w:tcPr>
            <w:tcW w:w="964" w:type="dxa"/>
            <w:vAlign w:val="center"/>
          </w:tcPr>
          <w:p>
            <w:pPr>
              <w:pStyle w:val="14"/>
            </w:pPr>
            <w:r>
              <w:t>9.00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办公椅</w:t>
            </w:r>
          </w:p>
        </w:tc>
        <w:tc>
          <w:tcPr>
            <w:tcW w:w="1134" w:type="dxa"/>
            <w:vAlign w:val="center"/>
          </w:tcPr>
          <w:p>
            <w:pPr>
              <w:pStyle w:val="15"/>
            </w:pPr>
            <w:r>
              <w:t>A05010301</w:t>
            </w:r>
          </w:p>
        </w:tc>
        <w:tc>
          <w:tcPr>
            <w:tcW w:w="709" w:type="dxa"/>
            <w:vAlign w:val="center"/>
          </w:tcPr>
          <w:p>
            <w:pPr>
              <w:pStyle w:val="16"/>
            </w:pPr>
            <w:r>
              <w:t>个</w:t>
            </w:r>
          </w:p>
        </w:tc>
        <w:tc>
          <w:tcPr>
            <w:tcW w:w="850" w:type="dxa"/>
            <w:vAlign w:val="center"/>
          </w:tcPr>
          <w:p>
            <w:pPr>
              <w:pStyle w:val="14"/>
            </w:pPr>
            <w:r>
              <w:t>6</w:t>
            </w:r>
          </w:p>
        </w:tc>
        <w:tc>
          <w:tcPr>
            <w:tcW w:w="850" w:type="dxa"/>
            <w:vAlign w:val="center"/>
          </w:tcPr>
          <w:p>
            <w:pPr>
              <w:pStyle w:val="14"/>
            </w:pPr>
            <w:r>
              <w:t>0.07</w:t>
            </w:r>
          </w:p>
        </w:tc>
        <w:tc>
          <w:tcPr>
            <w:tcW w:w="964" w:type="dxa"/>
            <w:vAlign w:val="center"/>
          </w:tcPr>
          <w:p>
            <w:pPr>
              <w:pStyle w:val="14"/>
            </w:pPr>
            <w:r>
              <w:t>0.42</w:t>
            </w:r>
          </w:p>
        </w:tc>
        <w:tc>
          <w:tcPr>
            <w:tcW w:w="964" w:type="dxa"/>
            <w:vAlign w:val="center"/>
          </w:tcPr>
          <w:p>
            <w:pPr>
              <w:pStyle w:val="14"/>
            </w:pPr>
            <w:r>
              <w:t>0.42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其他椅凳类</w:t>
            </w:r>
          </w:p>
        </w:tc>
        <w:tc>
          <w:tcPr>
            <w:tcW w:w="1134" w:type="dxa"/>
            <w:vAlign w:val="center"/>
          </w:tcPr>
          <w:p>
            <w:pPr>
              <w:pStyle w:val="15"/>
            </w:pPr>
            <w:r>
              <w:t>A05010399</w:t>
            </w:r>
          </w:p>
        </w:tc>
        <w:tc>
          <w:tcPr>
            <w:tcW w:w="709" w:type="dxa"/>
            <w:vAlign w:val="center"/>
          </w:tcPr>
          <w:p>
            <w:pPr>
              <w:pStyle w:val="16"/>
            </w:pPr>
            <w:r>
              <w:t>个</w:t>
            </w:r>
          </w:p>
        </w:tc>
        <w:tc>
          <w:tcPr>
            <w:tcW w:w="850" w:type="dxa"/>
            <w:vAlign w:val="center"/>
          </w:tcPr>
          <w:p>
            <w:pPr>
              <w:pStyle w:val="14"/>
            </w:pPr>
            <w:r>
              <w:t>30</w:t>
            </w:r>
          </w:p>
        </w:tc>
        <w:tc>
          <w:tcPr>
            <w:tcW w:w="850" w:type="dxa"/>
            <w:vAlign w:val="center"/>
          </w:tcPr>
          <w:p>
            <w:pPr>
              <w:pStyle w:val="14"/>
            </w:pPr>
            <w:r>
              <w:t>0.01</w:t>
            </w:r>
          </w:p>
        </w:tc>
        <w:tc>
          <w:tcPr>
            <w:tcW w:w="964" w:type="dxa"/>
            <w:vAlign w:val="center"/>
          </w:tcPr>
          <w:p>
            <w:pPr>
              <w:pStyle w:val="14"/>
            </w:pPr>
            <w:r>
              <w:t>0.30</w:t>
            </w:r>
          </w:p>
        </w:tc>
        <w:tc>
          <w:tcPr>
            <w:tcW w:w="964" w:type="dxa"/>
            <w:vAlign w:val="center"/>
          </w:tcPr>
          <w:p>
            <w:pPr>
              <w:pStyle w:val="14"/>
            </w:pPr>
            <w:r>
              <w:t>0.30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普通服装</w:t>
            </w:r>
          </w:p>
        </w:tc>
        <w:tc>
          <w:tcPr>
            <w:tcW w:w="1134" w:type="dxa"/>
            <w:vAlign w:val="center"/>
          </w:tcPr>
          <w:p>
            <w:pPr>
              <w:pStyle w:val="15"/>
            </w:pPr>
            <w:r>
              <w:t>A05030303</w:t>
            </w:r>
          </w:p>
        </w:tc>
        <w:tc>
          <w:tcPr>
            <w:tcW w:w="709" w:type="dxa"/>
            <w:vAlign w:val="center"/>
          </w:tcPr>
          <w:p>
            <w:pPr>
              <w:pStyle w:val="16"/>
            </w:pPr>
            <w:r>
              <w:t>批</w:t>
            </w:r>
          </w:p>
        </w:tc>
        <w:tc>
          <w:tcPr>
            <w:tcW w:w="850" w:type="dxa"/>
            <w:vAlign w:val="center"/>
          </w:tcPr>
          <w:p>
            <w:pPr>
              <w:pStyle w:val="14"/>
            </w:pPr>
            <w:r>
              <w:t>2</w:t>
            </w:r>
          </w:p>
        </w:tc>
        <w:tc>
          <w:tcPr>
            <w:tcW w:w="850" w:type="dxa"/>
            <w:vAlign w:val="center"/>
          </w:tcPr>
          <w:p>
            <w:pPr>
              <w:pStyle w:val="14"/>
            </w:pPr>
            <w:r>
              <w:t>0.20</w:t>
            </w:r>
          </w:p>
        </w:tc>
        <w:tc>
          <w:tcPr>
            <w:tcW w:w="964" w:type="dxa"/>
            <w:vAlign w:val="center"/>
          </w:tcPr>
          <w:p>
            <w:pPr>
              <w:pStyle w:val="14"/>
            </w:pPr>
            <w:r>
              <w:t>0.40</w:t>
            </w:r>
          </w:p>
        </w:tc>
        <w:tc>
          <w:tcPr>
            <w:tcW w:w="964" w:type="dxa"/>
            <w:vAlign w:val="center"/>
          </w:tcPr>
          <w:p>
            <w:pPr>
              <w:pStyle w:val="14"/>
            </w:pPr>
            <w:r>
              <w:t>0.40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箱</w:t>
            </w:r>
          </w:p>
        </w:tc>
        <w:tc>
          <w:tcPr>
            <w:tcW w:w="850" w:type="dxa"/>
            <w:vAlign w:val="center"/>
          </w:tcPr>
          <w:p>
            <w:pPr>
              <w:pStyle w:val="14"/>
            </w:pPr>
            <w:r>
              <w:t>200</w:t>
            </w:r>
          </w:p>
        </w:tc>
        <w:tc>
          <w:tcPr>
            <w:tcW w:w="850" w:type="dxa"/>
            <w:vAlign w:val="center"/>
          </w:tcPr>
          <w:p>
            <w:pPr>
              <w:pStyle w:val="14"/>
            </w:pPr>
            <w:r>
              <w:t>0.02</w:t>
            </w:r>
          </w:p>
        </w:tc>
        <w:tc>
          <w:tcPr>
            <w:tcW w:w="964" w:type="dxa"/>
            <w:vAlign w:val="center"/>
          </w:tcPr>
          <w:p>
            <w:pPr>
              <w:pStyle w:val="14"/>
            </w:pPr>
            <w:r>
              <w:t>4.00</w:t>
            </w:r>
          </w:p>
        </w:tc>
        <w:tc>
          <w:tcPr>
            <w:tcW w:w="964" w:type="dxa"/>
            <w:vAlign w:val="center"/>
          </w:tcPr>
          <w:p>
            <w:pPr>
              <w:pStyle w:val="14"/>
            </w:pPr>
            <w:r>
              <w:t>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消毒杀菌用品</w:t>
            </w:r>
          </w:p>
        </w:tc>
        <w:tc>
          <w:tcPr>
            <w:tcW w:w="1134" w:type="dxa"/>
            <w:vAlign w:val="center"/>
          </w:tcPr>
          <w:p>
            <w:pPr>
              <w:pStyle w:val="15"/>
            </w:pPr>
            <w:r>
              <w:t>A05040502</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0.60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应用软件</w:t>
            </w:r>
          </w:p>
        </w:tc>
        <w:tc>
          <w:tcPr>
            <w:tcW w:w="1134" w:type="dxa"/>
            <w:vAlign w:val="center"/>
          </w:tcPr>
          <w:p>
            <w:pPr>
              <w:pStyle w:val="15"/>
            </w:pPr>
            <w:r>
              <w:t>A08060303</w:t>
            </w:r>
          </w:p>
        </w:tc>
        <w:tc>
          <w:tcPr>
            <w:tcW w:w="709" w:type="dxa"/>
            <w:vAlign w:val="center"/>
          </w:tcPr>
          <w:p>
            <w:pPr>
              <w:pStyle w:val="16"/>
            </w:pPr>
            <w:r>
              <w:t>个</w:t>
            </w:r>
          </w:p>
        </w:tc>
        <w:tc>
          <w:tcPr>
            <w:tcW w:w="850" w:type="dxa"/>
            <w:vAlign w:val="center"/>
          </w:tcPr>
          <w:p>
            <w:pPr>
              <w:pStyle w:val="14"/>
            </w:pPr>
            <w:r>
              <w:t>5</w:t>
            </w:r>
          </w:p>
        </w:tc>
        <w:tc>
          <w:tcPr>
            <w:tcW w:w="850" w:type="dxa"/>
            <w:vAlign w:val="center"/>
          </w:tcPr>
          <w:p>
            <w:pPr>
              <w:pStyle w:val="14"/>
            </w:pPr>
            <w:r>
              <w:t>2.40</w:t>
            </w:r>
          </w:p>
        </w:tc>
        <w:tc>
          <w:tcPr>
            <w:tcW w:w="964" w:type="dxa"/>
            <w:vAlign w:val="center"/>
          </w:tcPr>
          <w:p>
            <w:pPr>
              <w:pStyle w:val="14"/>
            </w:pPr>
            <w:r>
              <w:t>12.00</w:t>
            </w:r>
          </w:p>
        </w:tc>
        <w:tc>
          <w:tcPr>
            <w:tcW w:w="964" w:type="dxa"/>
            <w:vAlign w:val="center"/>
          </w:tcPr>
          <w:p>
            <w:pPr>
              <w:pStyle w:val="14"/>
            </w:pPr>
            <w:r>
              <w:t>12.00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单证印刷服务</w:t>
            </w:r>
          </w:p>
        </w:tc>
        <w:tc>
          <w:tcPr>
            <w:tcW w:w="1134" w:type="dxa"/>
            <w:vAlign w:val="center"/>
          </w:tcPr>
          <w:p>
            <w:pPr>
              <w:pStyle w:val="15"/>
            </w:pPr>
            <w:r>
              <w:t>C23090101</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2.00</w:t>
            </w:r>
          </w:p>
        </w:tc>
        <w:tc>
          <w:tcPr>
            <w:tcW w:w="964" w:type="dxa"/>
            <w:vAlign w:val="center"/>
          </w:tcPr>
          <w:p>
            <w:pPr>
              <w:pStyle w:val="14"/>
            </w:pPr>
            <w:r>
              <w:t>20.00</w:t>
            </w:r>
          </w:p>
        </w:tc>
        <w:tc>
          <w:tcPr>
            <w:tcW w:w="964" w:type="dxa"/>
            <w:vAlign w:val="center"/>
          </w:tcPr>
          <w:p>
            <w:pPr>
              <w:pStyle w:val="14"/>
            </w:pPr>
            <w:r>
              <w:t>20.00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行政审批政务服务经费</w:t>
            </w:r>
          </w:p>
        </w:tc>
        <w:tc>
          <w:tcPr>
            <w:tcW w:w="964" w:type="dxa"/>
            <w:vAlign w:val="center"/>
          </w:tcPr>
          <w:p>
            <w:pPr>
              <w:pStyle w:val="14"/>
            </w:pPr>
            <w:r>
              <w:t>300.00</w:t>
            </w:r>
          </w:p>
        </w:tc>
        <w:tc>
          <w:tcPr>
            <w:tcW w:w="1134" w:type="dxa"/>
            <w:vAlign w:val="center"/>
          </w:tcPr>
          <w:p>
            <w:pPr>
              <w:pStyle w:val="15"/>
            </w:pPr>
            <w:r>
              <w:t>其他商务服务</w:t>
            </w:r>
          </w:p>
        </w:tc>
        <w:tc>
          <w:tcPr>
            <w:tcW w:w="1134" w:type="dxa"/>
            <w:vAlign w:val="center"/>
          </w:tcPr>
          <w:p>
            <w:pPr>
              <w:pStyle w:val="15"/>
            </w:pPr>
            <w:r>
              <w:t>C23990000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170.00</w:t>
            </w:r>
          </w:p>
        </w:tc>
        <w:tc>
          <w:tcPr>
            <w:tcW w:w="964" w:type="dxa"/>
            <w:vAlign w:val="center"/>
          </w:tcPr>
          <w:p>
            <w:pPr>
              <w:pStyle w:val="14"/>
            </w:pPr>
            <w:r>
              <w:t>170.00</w:t>
            </w:r>
          </w:p>
        </w:tc>
        <w:tc>
          <w:tcPr>
            <w:tcW w:w="964" w:type="dxa"/>
            <w:vAlign w:val="center"/>
          </w:tcPr>
          <w:p>
            <w:pPr>
              <w:pStyle w:val="14"/>
            </w:pPr>
            <w:r>
              <w:t>170.00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石家庄市长安区数据和政务服务局机关本级上年末固定资产金额为</w:t>
      </w:r>
      <w:r>
        <w:rPr>
          <w:rFonts w:hint="eastAsia" w:asciiTheme="minorEastAsia" w:hAnsiTheme="minorEastAsia" w:eastAsiaTheme="minorEastAsia" w:cstheme="minorEastAsia"/>
          <w:b w:val="0"/>
          <w:color w:val="000000"/>
          <w:sz w:val="28"/>
          <w:lang w:val="en-US" w:eastAsia="zh-CN"/>
        </w:rPr>
        <w:t>381.83</w:t>
      </w:r>
      <w:r>
        <w:rPr>
          <w:rFonts w:hint="eastAsia" w:asciiTheme="minorEastAsia" w:hAnsiTheme="minorEastAsia" w:eastAsiaTheme="minorEastAsia" w:cstheme="minorEastAsia"/>
          <w:b w:val="0"/>
          <w:color w:val="000000"/>
          <w:sz w:val="28"/>
        </w:rPr>
        <w:t>万元（详见下表）。本年度拟购置固定资产总额为1.20万元，已按要求列入政府采购预算，详见政府采购预算表。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224001石家庄市长安区</w:t>
            </w:r>
            <w:r>
              <w:rPr>
                <w:b/>
                <w:bCs/>
              </w:rPr>
              <w:t>数据和</w:t>
            </w:r>
            <w:r>
              <w:t>政</w:t>
            </w:r>
            <w:r>
              <w:rPr>
                <w:b/>
                <w:bCs/>
              </w:rPr>
              <w:t>务服务局</w:t>
            </w:r>
            <w:r>
              <w:t>机</w:t>
            </w:r>
            <w:r>
              <w:rPr>
                <w:b/>
                <w:bCs/>
              </w:rPr>
              <w:t>关</w:t>
            </w:r>
            <w:r>
              <w:t>本级</w:t>
            </w:r>
          </w:p>
        </w:tc>
        <w:tc>
          <w:tcPr>
            <w:tcW w:w="5670" w:type="dxa"/>
            <w:gridSpan w:val="2"/>
            <w:tcBorders>
              <w:top w:val="single" w:color="FFFFFF" w:sz="6" w:space="0"/>
              <w:left w:val="single" w:color="FFFFFF" w:sz="6" w:space="0"/>
              <w:right w:val="single" w:color="FFFFFF" w:sz="6" w:space="0"/>
            </w:tcBorders>
            <w:vAlign w:val="center"/>
          </w:tcPr>
          <w:p>
            <w:pPr>
              <w:pStyle w:val="10"/>
            </w:pPr>
            <w:r>
              <w:rPr>
                <w:b/>
                <w:bCs/>
              </w:rPr>
              <w:t>截止时间：</w:t>
            </w:r>
            <w:r>
              <w:t>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rPr>
                <w:rFonts w:hint="default" w:eastAsia="方正书宋_GBK"/>
                <w:lang w:val="en-US" w:eastAsia="zh-CN"/>
              </w:rPr>
            </w:pPr>
            <w:r>
              <w:rPr>
                <w:rFonts w:hint="eastAsia"/>
                <w:lang w:val="en-US" w:eastAsia="zh-CN"/>
              </w:rPr>
              <w:t>1789</w:t>
            </w:r>
          </w:p>
        </w:tc>
        <w:tc>
          <w:tcPr>
            <w:tcW w:w="2835" w:type="dxa"/>
            <w:vAlign w:val="center"/>
          </w:tcPr>
          <w:p>
            <w:pPr>
              <w:pStyle w:val="14"/>
              <w:rPr>
                <w:rFonts w:hint="default" w:eastAsia="方正书宋_GBK"/>
                <w:lang w:val="en-US" w:eastAsia="zh-CN"/>
              </w:rPr>
            </w:pPr>
            <w:r>
              <w:rPr>
                <w:rFonts w:hint="eastAsia"/>
                <w:lang w:val="en-US" w:eastAsia="zh-CN"/>
              </w:rPr>
              <w:t>381.83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rPr>
                <w:rFonts w:hint="eastAsia" w:eastAsia="方正书宋_GBK"/>
                <w:lang w:val="en-US" w:eastAsia="zh-CN"/>
              </w:rPr>
            </w:pPr>
            <w:r>
              <w:rPr>
                <w:rFonts w:hint="eastAsia"/>
                <w:lang w:val="en-US" w:eastAsia="zh-CN"/>
              </w:rPr>
              <w:t>1</w:t>
            </w:r>
          </w:p>
        </w:tc>
        <w:tc>
          <w:tcPr>
            <w:tcW w:w="2835" w:type="dxa"/>
            <w:vAlign w:val="center"/>
          </w:tcPr>
          <w:p>
            <w:pPr>
              <w:pStyle w:val="14"/>
              <w:rPr>
                <w:rFonts w:hint="default" w:eastAsia="方正书宋_GBK"/>
                <w:lang w:val="en-US" w:eastAsia="zh-CN"/>
              </w:rPr>
            </w:pPr>
            <w:r>
              <w:rPr>
                <w:rFonts w:hint="eastAsia"/>
                <w:lang w:val="en-US" w:eastAsia="zh-CN"/>
              </w:rP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lang w:val="en-US" w:eastAsia="zh-CN"/>
              </w:rPr>
              <w:t>1788</w:t>
            </w:r>
          </w:p>
        </w:tc>
        <w:tc>
          <w:tcPr>
            <w:tcW w:w="2835" w:type="dxa"/>
            <w:vAlign w:val="center"/>
          </w:tcPr>
          <w:p>
            <w:pPr>
              <w:pStyle w:val="14"/>
              <w:rPr>
                <w:rFonts w:hint="default" w:eastAsia="方正书宋_GBK"/>
                <w:lang w:val="en-US" w:eastAsia="zh-CN"/>
              </w:rPr>
            </w:pPr>
            <w:r>
              <w:rPr>
                <w:rFonts w:hint="eastAsia"/>
                <w:lang w:val="en-US" w:eastAsia="zh-CN"/>
              </w:rPr>
              <w:t>368.23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1、</w:t>
      </w:r>
      <w:r>
        <w:rPr>
          <w:rFonts w:hint="eastAsia" w:asciiTheme="minorEastAsia" w:hAnsiTheme="minorEastAsia" w:eastAsiaTheme="minorEastAsia" w:cstheme="minorEastAsia"/>
          <w:b/>
          <w:color w:val="000000"/>
          <w:sz w:val="28"/>
        </w:rPr>
        <w:t>财政拨款收入：</w:t>
      </w:r>
      <w:r>
        <w:rPr>
          <w:rFonts w:hint="eastAsia" w:asciiTheme="minorEastAsia" w:hAnsiTheme="minorEastAsia" w:eastAsiaTheme="minorEastAsia" w:cstheme="minorEastAsia"/>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2、</w:t>
      </w:r>
      <w:r>
        <w:rPr>
          <w:rFonts w:hint="eastAsia" w:asciiTheme="minorEastAsia" w:hAnsiTheme="minorEastAsia" w:eastAsiaTheme="minorEastAsia" w:cstheme="minorEastAsia"/>
          <w:b/>
          <w:color w:val="000000"/>
          <w:sz w:val="28"/>
        </w:rPr>
        <w:t>财政专户管理资金收入：</w:t>
      </w:r>
      <w:r>
        <w:rPr>
          <w:rFonts w:hint="eastAsia" w:asciiTheme="minorEastAsia" w:hAnsiTheme="minorEastAsia" w:eastAsiaTheme="minorEastAsia" w:cstheme="minorEastAsia"/>
          <w:b w:val="0"/>
          <w:color w:val="000000"/>
          <w:sz w:val="28"/>
        </w:rPr>
        <w:t>缴入财政专户、实行专项管理的教育收费收入。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3、</w:t>
      </w:r>
      <w:r>
        <w:rPr>
          <w:rFonts w:hint="eastAsia" w:asciiTheme="minorEastAsia" w:hAnsiTheme="minorEastAsia" w:eastAsiaTheme="minorEastAsia" w:cstheme="minorEastAsia"/>
          <w:b/>
          <w:color w:val="000000"/>
          <w:sz w:val="28"/>
        </w:rPr>
        <w:t>单位资金收入：</w:t>
      </w:r>
      <w:r>
        <w:rPr>
          <w:rFonts w:hint="eastAsia" w:asciiTheme="minorEastAsia" w:hAnsiTheme="minorEastAsia" w:eastAsiaTheme="minorEastAsia" w:cstheme="minorEastAsia"/>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4、</w:t>
      </w:r>
      <w:r>
        <w:rPr>
          <w:rFonts w:hint="eastAsia" w:asciiTheme="minorEastAsia" w:hAnsiTheme="minorEastAsia" w:eastAsiaTheme="minorEastAsia" w:cstheme="minorEastAsia"/>
          <w:b/>
          <w:color w:val="000000"/>
          <w:sz w:val="28"/>
        </w:rPr>
        <w:t>事业收入：</w:t>
      </w:r>
      <w:r>
        <w:rPr>
          <w:rFonts w:hint="eastAsia" w:asciiTheme="minorEastAsia" w:hAnsiTheme="minorEastAsia" w:eastAsiaTheme="minorEastAsia" w:cstheme="minorEastAsia"/>
          <w:b w:val="0"/>
          <w:color w:val="000000"/>
          <w:sz w:val="28"/>
        </w:rPr>
        <w:t>指事业单位开展专业业务活动及辅助活动所取得的收入。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5、</w:t>
      </w:r>
      <w:r>
        <w:rPr>
          <w:rFonts w:hint="eastAsia" w:asciiTheme="minorEastAsia" w:hAnsiTheme="minorEastAsia" w:eastAsiaTheme="minorEastAsia" w:cstheme="minorEastAsia"/>
          <w:b/>
          <w:color w:val="000000"/>
          <w:sz w:val="28"/>
        </w:rPr>
        <w:t>事业单位经营收入：</w:t>
      </w:r>
      <w:r>
        <w:rPr>
          <w:rFonts w:hint="eastAsia" w:asciiTheme="minorEastAsia" w:hAnsiTheme="minorEastAsia" w:eastAsiaTheme="minorEastAsia" w:cstheme="minorEastAsia"/>
          <w:b w:val="0"/>
          <w:color w:val="000000"/>
          <w:sz w:val="28"/>
        </w:rPr>
        <w:t>指事业单位在专业业务活动及其辅助活动之外开展非独立核算经营活动取得的收入。</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6、</w:t>
      </w:r>
      <w:r>
        <w:rPr>
          <w:rFonts w:hint="eastAsia" w:asciiTheme="minorEastAsia" w:hAnsiTheme="minorEastAsia" w:eastAsiaTheme="minorEastAsia" w:cstheme="minorEastAsia"/>
          <w:b/>
          <w:color w:val="000000"/>
          <w:sz w:val="28"/>
        </w:rPr>
        <w:t>上年结转：</w:t>
      </w:r>
      <w:r>
        <w:rPr>
          <w:rFonts w:hint="eastAsia" w:asciiTheme="minorEastAsia" w:hAnsiTheme="minorEastAsia" w:eastAsiaTheme="minorEastAsia" w:cstheme="minorEastAsia"/>
          <w:b w:val="0"/>
          <w:color w:val="000000"/>
          <w:sz w:val="28"/>
        </w:rPr>
        <w:t>指以前年度安排、结转到本年仍按原规定用途继续使用的资金。</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7、</w:t>
      </w:r>
      <w:r>
        <w:rPr>
          <w:rFonts w:hint="eastAsia" w:asciiTheme="minorEastAsia" w:hAnsiTheme="minorEastAsia" w:eastAsiaTheme="minorEastAsia" w:cstheme="minorEastAsia"/>
          <w:b/>
          <w:color w:val="000000"/>
          <w:sz w:val="28"/>
        </w:rPr>
        <w:t>单位预算支出：</w:t>
      </w:r>
      <w:r>
        <w:rPr>
          <w:rFonts w:hint="eastAsia" w:asciiTheme="minorEastAsia" w:hAnsiTheme="minorEastAsia" w:eastAsiaTheme="minorEastAsia" w:cstheme="minorEastAsia"/>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8、</w:t>
      </w:r>
      <w:r>
        <w:rPr>
          <w:rFonts w:hint="eastAsia" w:asciiTheme="minorEastAsia" w:hAnsiTheme="minorEastAsia" w:eastAsiaTheme="minorEastAsia" w:cstheme="minorEastAsia"/>
          <w:b/>
          <w:color w:val="000000"/>
          <w:sz w:val="28"/>
        </w:rPr>
        <w:t>事业单位经营支出：</w:t>
      </w:r>
      <w:r>
        <w:rPr>
          <w:rFonts w:hint="eastAsia" w:asciiTheme="minorEastAsia" w:hAnsiTheme="minorEastAsia" w:eastAsiaTheme="minorEastAsia" w:cstheme="minorEastAsia"/>
          <w:b w:val="0"/>
          <w:color w:val="000000"/>
          <w:sz w:val="28"/>
        </w:rPr>
        <w:t>指事业单位在专业业务活动及其辅助活动之外开展非独立核算经营活动发生的支出。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9、</w:t>
      </w:r>
      <w:r>
        <w:rPr>
          <w:rFonts w:hint="eastAsia" w:asciiTheme="minorEastAsia" w:hAnsiTheme="minorEastAsia" w:eastAsiaTheme="minorEastAsia" w:cstheme="minorEastAsia"/>
          <w:b/>
          <w:color w:val="000000"/>
          <w:sz w:val="28"/>
        </w:rPr>
        <w:t>“三公”经费：</w:t>
      </w:r>
      <w:r>
        <w:rPr>
          <w:rFonts w:hint="eastAsia" w:asciiTheme="minorEastAsia" w:hAnsiTheme="minorEastAsia" w:eastAsiaTheme="minorEastAsia" w:cstheme="minorEastAsia"/>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10、</w:t>
      </w:r>
      <w:r>
        <w:rPr>
          <w:rFonts w:hint="eastAsia" w:asciiTheme="minorEastAsia" w:hAnsiTheme="minorEastAsia" w:eastAsiaTheme="minorEastAsia" w:cstheme="minorEastAsia"/>
          <w:b/>
          <w:color w:val="000000"/>
          <w:sz w:val="28"/>
        </w:rPr>
        <w:t>机关运行经费：</w:t>
      </w:r>
      <w:r>
        <w:rPr>
          <w:rFonts w:hint="eastAsia" w:asciiTheme="minorEastAsia" w:hAnsiTheme="minorEastAsia" w:eastAsiaTheme="minorEastAsia" w:cstheme="minorEastAsia"/>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color w:val="000000"/>
          <w:sz w:val="32"/>
        </w:rPr>
        <w:t>九、其他需要说明的事项</w:t>
      </w:r>
    </w:p>
    <w:p>
      <w:pPr>
        <w:spacing w:before="0" w:after="0" w:line="500" w:lineRule="exact"/>
        <w:ind w:firstLine="56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00"/>
    <w:family w:val="auto"/>
    <w:pitch w:val="default"/>
    <w:sig w:usb0="00000000" w:usb1="00000000" w:usb2="00000000" w:usb3="00000000" w:csb0="00000000" w:csb1="00000000"/>
  </w:font>
  <w:font w:name="方正小标宋_GBK">
    <w:panose1 w:val="02000000000000000000"/>
    <w:charset w:val="00"/>
    <w:family w:val="auto"/>
    <w:pitch w:val="default"/>
    <w:sig w:usb0="00000000" w:usb1="00000000" w:usb2="00000000" w:usb3="00000000" w:csb0="00000000" w:csb1="00000000"/>
  </w:font>
  <w:font w:name="方正书宋_GBK">
    <w:panose1 w:val="02000000000000000000"/>
    <w:charset w:val="00"/>
    <w:family w:val="auto"/>
    <w:pitch w:val="default"/>
    <w:sig w:usb0="00000000" w:usb1="00000000" w:usb2="00000000" w:usb3="00000000" w:csb0="00000000" w:csb1="00000000"/>
  </w:font>
  <w:font w:name="方正楷体_GBK">
    <w:panose1 w:val="02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Batang">
    <w:panose1 w:val="02030600000101010101"/>
    <w:charset w:val="81"/>
    <w:family w:val="auto"/>
    <w:pitch w:val="default"/>
    <w:sig w:usb0="B00002AF" w:usb1="69D77CFB" w:usb2="00000030" w:usb3="00000000" w:csb0="4008009F" w:csb1="DFD7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微软雅黑 Light">
    <w:panose1 w:val="020B0502040204020203"/>
    <w:charset w:val="86"/>
    <w:family w:val="auto"/>
    <w:pitch w:val="default"/>
    <w:sig w:usb0="80000287" w:usb1="2ACF0010" w:usb2="00000016" w:usb3="00000000" w:csb0="0004001F" w:csb1="00000000"/>
  </w:font>
  <w:font w:name="微软雅黑">
    <w:panose1 w:val="020B0503020204020204"/>
    <w:charset w:val="86"/>
    <w:family w:val="auto"/>
    <w:pitch w:val="default"/>
    <w:sig w:usb0="80000287" w:usb1="280F3C52" w:usb2="00000016" w:usb3="00000000" w:csb0="0004001F" w:csb1="00000000"/>
  </w:font>
  <w:font w:name="叶根友毛笔行书2.0版">
    <w:panose1 w:val="02010601030101010101"/>
    <w:charset w:val="86"/>
    <w:family w:val="auto"/>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 w:name="Gulim">
    <w:panose1 w:val="020B0600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BatangChe">
    <w:panose1 w:val="02030609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C242CD"/>
    <w:multiLevelType w:val="singleLevel"/>
    <w:tmpl w:val="86C242CD"/>
    <w:lvl w:ilvl="0" w:tentative="0">
      <w:start w:val="2"/>
      <w:numFmt w:val="decimal"/>
      <w:suff w:val="nothing"/>
      <w:lvlText w:val="%1、"/>
      <w:lvlJc w:val="left"/>
    </w:lvl>
  </w:abstractNum>
  <w:abstractNum w:abstractNumId="1">
    <w:nsid w:val="379ADD01"/>
    <w:multiLevelType w:val="singleLevel"/>
    <w:tmpl w:val="379ADD01"/>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F7665F"/>
    <w:rsid w:val="349F5C71"/>
    <w:rsid w:val="385E77F5"/>
    <w:rsid w:val="45154020"/>
    <w:rsid w:val="4E295B54"/>
    <w:rsid w:val="66F362C4"/>
    <w:rsid w:val="6EC657BE"/>
    <w:rsid w:val="7CDA03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1077</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2026-02-24T10:45:00Z</dcterms:created>
  <dc:creator>pc-1</dc:creator>
  <cp:lastModifiedBy>Administrator</cp:lastModifiedBy>
  <dcterms:modified xsi:type="dcterms:W3CDTF">2026-02-25T01:10:05Z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