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54089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right="0"/>
        <w:jc w:val="center"/>
        <w:textAlignment w:val="auto"/>
        <w:rPr>
          <w:rFonts w:hint="eastAsia" w:ascii="宋体" w:hAnsi="宋体" w:eastAsia="宋体" w:cs="宋体"/>
          <w:b/>
          <w:bCs/>
          <w:i w:val="0"/>
          <w:caps w:val="0"/>
          <w:color w:val="212121"/>
          <w:spacing w:val="0"/>
          <w:sz w:val="44"/>
          <w:szCs w:val="44"/>
          <w:shd w:val="clear" w:fill="FFFFFF"/>
          <w:lang w:val="en-US" w:eastAsia="zh-CN"/>
        </w:rPr>
      </w:pPr>
      <w:r>
        <w:rPr>
          <w:rFonts w:hint="eastAsia" w:ascii="宋体" w:hAnsi="宋体" w:eastAsia="宋体" w:cs="宋体"/>
          <w:b/>
          <w:bCs/>
          <w:i w:val="0"/>
          <w:caps w:val="0"/>
          <w:color w:val="212121"/>
          <w:spacing w:val="0"/>
          <w:sz w:val="44"/>
          <w:szCs w:val="44"/>
          <w:shd w:val="clear" w:fill="FFFFFF"/>
          <w:lang w:val="en-US" w:eastAsia="zh-CN"/>
        </w:rPr>
        <w:t>长安区文化广电体育和旅游局</w:t>
      </w:r>
    </w:p>
    <w:p w14:paraId="5977FA2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right="0"/>
        <w:jc w:val="center"/>
        <w:textAlignment w:val="auto"/>
        <w:rPr>
          <w:rFonts w:hint="default" w:ascii="宋体" w:hAnsi="宋体" w:eastAsia="宋体" w:cs="宋体"/>
          <w:b/>
          <w:bCs/>
          <w:i w:val="0"/>
          <w:caps w:val="0"/>
          <w:color w:val="666666"/>
          <w:spacing w:val="0"/>
          <w:sz w:val="44"/>
          <w:szCs w:val="44"/>
          <w:shd w:val="clear" w:fill="FFFFFF"/>
          <w:lang w:val="en-US" w:eastAsia="zh-CN"/>
        </w:rPr>
      </w:pPr>
      <w:r>
        <w:rPr>
          <w:rFonts w:hint="eastAsia" w:ascii="宋体" w:hAnsi="宋体" w:eastAsia="宋体" w:cs="宋体"/>
          <w:b/>
          <w:bCs/>
          <w:i w:val="0"/>
          <w:caps w:val="0"/>
          <w:color w:val="212121"/>
          <w:spacing w:val="0"/>
          <w:sz w:val="44"/>
          <w:szCs w:val="44"/>
          <w:shd w:val="clear" w:fill="FFFFFF"/>
          <w:lang w:val="en-US" w:eastAsia="zh-CN"/>
        </w:rPr>
        <w:t>2025年</w:t>
      </w:r>
      <w:r>
        <w:rPr>
          <w:rFonts w:hint="eastAsia" w:ascii="宋体" w:hAnsi="宋体" w:eastAsia="宋体" w:cs="宋体"/>
          <w:b/>
          <w:bCs/>
          <w:i w:val="0"/>
          <w:caps w:val="0"/>
          <w:color w:val="212121"/>
          <w:spacing w:val="0"/>
          <w:sz w:val="44"/>
          <w:szCs w:val="44"/>
          <w:shd w:val="clear" w:fill="FFFFFF"/>
        </w:rPr>
        <w:t>政府信息公开工作年度报告</w:t>
      </w:r>
    </w:p>
    <w:p w14:paraId="33BEF7C7">
      <w:pPr>
        <w:pStyle w:val="8"/>
        <w:keepNext w:val="0"/>
        <w:keepLines w:val="0"/>
        <w:pageBreakBefore w:val="0"/>
        <w:widowControl/>
        <w:suppressLineNumbers w:val="0"/>
        <w:pBdr>
          <w:lef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leftChars="0" w:right="0" w:firstLine="700" w:firstLineChars="200"/>
        <w:jc w:val="both"/>
        <w:textAlignment w:val="auto"/>
        <w:outlineLvl w:val="9"/>
        <w:rPr>
          <w:rFonts w:hint="eastAsia" w:ascii="仿宋_GB2312" w:hAnsi="仿宋_GB2312" w:eastAsia="仿宋_GB2312" w:cs="仿宋_GB2312"/>
          <w:i w:val="0"/>
          <w:caps w:val="0"/>
          <w:color w:val="000000"/>
          <w:spacing w:val="15"/>
          <w:sz w:val="32"/>
          <w:szCs w:val="32"/>
          <w:shd w:val="clear" w:color="auto" w:fill="FFFFFF"/>
        </w:rPr>
      </w:pPr>
    </w:p>
    <w:p w14:paraId="69DAE6EB">
      <w:pPr>
        <w:pStyle w:val="8"/>
        <w:keepNext w:val="0"/>
        <w:keepLines w:val="0"/>
        <w:pageBreakBefore w:val="0"/>
        <w:widowControl/>
        <w:suppressLineNumbers w:val="0"/>
        <w:pBdr>
          <w:lef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right="0" w:firstLine="700" w:firstLineChars="200"/>
        <w:jc w:val="both"/>
        <w:textAlignment w:val="auto"/>
        <w:outlineLvl w:val="9"/>
        <w:rPr>
          <w:rFonts w:hint="eastAsia" w:ascii="宋体" w:hAnsi="宋体" w:eastAsia="宋体" w:cs="宋体"/>
          <w:i w:val="0"/>
          <w:caps w:val="0"/>
          <w:color w:val="666666"/>
          <w:spacing w:val="0"/>
          <w:sz w:val="21"/>
          <w:szCs w:val="21"/>
          <w:shd w:val="clear" w:fill="FFFFFF"/>
        </w:rPr>
      </w:pPr>
      <w:r>
        <w:rPr>
          <w:rFonts w:hint="eastAsia" w:ascii="仿宋_GB2312" w:hAnsi="仿宋_GB2312" w:eastAsia="仿宋_GB2312" w:cs="仿宋_GB2312"/>
          <w:i w:val="0"/>
          <w:caps w:val="0"/>
          <w:color w:val="000000"/>
          <w:spacing w:val="15"/>
          <w:sz w:val="32"/>
          <w:szCs w:val="32"/>
          <w:shd w:val="clear" w:color="auto" w:fill="FFFFFF"/>
        </w:rPr>
        <w:t>根据《中华人民共和国政府信息公开条例》（下称《条例》）及省、市、</w:t>
      </w:r>
      <w:r>
        <w:rPr>
          <w:rFonts w:hint="eastAsia" w:ascii="仿宋_GB2312" w:hAnsi="仿宋_GB2312" w:eastAsia="仿宋_GB2312" w:cs="仿宋_GB2312"/>
          <w:i w:val="0"/>
          <w:caps w:val="0"/>
          <w:color w:val="000000"/>
          <w:spacing w:val="15"/>
          <w:sz w:val="32"/>
          <w:szCs w:val="32"/>
          <w:shd w:val="clear" w:color="auto" w:fill="FFFFFF"/>
          <w:lang w:eastAsia="zh-CN"/>
        </w:rPr>
        <w:t>区</w:t>
      </w:r>
      <w:r>
        <w:rPr>
          <w:rFonts w:hint="eastAsia" w:ascii="仿宋_GB2312" w:hAnsi="仿宋_GB2312" w:eastAsia="仿宋_GB2312" w:cs="仿宋_GB2312"/>
          <w:i w:val="0"/>
          <w:caps w:val="0"/>
          <w:color w:val="000000"/>
          <w:spacing w:val="15"/>
          <w:sz w:val="32"/>
          <w:szCs w:val="32"/>
          <w:shd w:val="clear" w:color="auto" w:fill="FFFFFF"/>
        </w:rPr>
        <w:t>相关规定要求，现向社会公布</w:t>
      </w:r>
      <w:r>
        <w:rPr>
          <w:rFonts w:hint="eastAsia" w:ascii="仿宋_GB2312" w:hAnsi="仿宋_GB2312" w:eastAsia="仿宋_GB2312" w:cs="仿宋_GB2312"/>
          <w:i w:val="0"/>
          <w:caps w:val="0"/>
          <w:color w:val="000000"/>
          <w:spacing w:val="15"/>
          <w:sz w:val="32"/>
          <w:szCs w:val="32"/>
          <w:shd w:val="clear" w:color="auto" w:fill="FFFFFF"/>
          <w:lang w:eastAsia="zh-CN"/>
        </w:rPr>
        <w:t>长安区文广体旅局</w:t>
      </w:r>
      <w:r>
        <w:rPr>
          <w:rFonts w:hint="eastAsia" w:ascii="仿宋_GB2312" w:hAnsi="仿宋_GB2312" w:eastAsia="仿宋_GB2312" w:cs="仿宋_GB2312"/>
          <w:i w:val="0"/>
          <w:caps w:val="0"/>
          <w:color w:val="000000"/>
          <w:spacing w:val="15"/>
          <w:sz w:val="32"/>
          <w:szCs w:val="32"/>
          <w:shd w:val="clear" w:color="auto" w:fill="FFFFFF"/>
        </w:rPr>
        <w:t>202</w:t>
      </w:r>
      <w:r>
        <w:rPr>
          <w:rFonts w:hint="eastAsia" w:ascii="仿宋_GB2312" w:hAnsi="仿宋_GB2312" w:eastAsia="仿宋_GB2312" w:cs="仿宋_GB2312"/>
          <w:i w:val="0"/>
          <w:caps w:val="0"/>
          <w:color w:val="000000"/>
          <w:spacing w:val="15"/>
          <w:sz w:val="32"/>
          <w:szCs w:val="32"/>
          <w:shd w:val="clear" w:color="auto" w:fill="FFFFFF"/>
          <w:lang w:val="en-US" w:eastAsia="zh-CN"/>
        </w:rPr>
        <w:t>5</w:t>
      </w:r>
      <w:r>
        <w:rPr>
          <w:rFonts w:hint="eastAsia" w:ascii="仿宋_GB2312" w:hAnsi="仿宋_GB2312" w:eastAsia="仿宋_GB2312" w:cs="仿宋_GB2312"/>
          <w:i w:val="0"/>
          <w:caps w:val="0"/>
          <w:color w:val="000000"/>
          <w:spacing w:val="15"/>
          <w:sz w:val="32"/>
          <w:szCs w:val="32"/>
          <w:shd w:val="clear" w:color="auto" w:fill="FFFFFF"/>
        </w:rPr>
        <w:t>年度政府信息公开工作报告。本报告所列数据统计期限为202</w:t>
      </w:r>
      <w:r>
        <w:rPr>
          <w:rFonts w:hint="eastAsia" w:ascii="仿宋_GB2312" w:hAnsi="仿宋_GB2312" w:eastAsia="仿宋_GB2312" w:cs="仿宋_GB2312"/>
          <w:i w:val="0"/>
          <w:caps w:val="0"/>
          <w:color w:val="000000"/>
          <w:spacing w:val="15"/>
          <w:sz w:val="32"/>
          <w:szCs w:val="32"/>
          <w:shd w:val="clear" w:color="auto" w:fill="FFFFFF"/>
          <w:lang w:val="en-US" w:eastAsia="zh-CN"/>
        </w:rPr>
        <w:t>5</w:t>
      </w:r>
      <w:r>
        <w:rPr>
          <w:rFonts w:hint="eastAsia" w:ascii="仿宋_GB2312" w:hAnsi="仿宋_GB2312" w:eastAsia="仿宋_GB2312" w:cs="仿宋_GB2312"/>
          <w:i w:val="0"/>
          <w:caps w:val="0"/>
          <w:color w:val="000000"/>
          <w:spacing w:val="15"/>
          <w:sz w:val="32"/>
          <w:szCs w:val="32"/>
          <w:shd w:val="clear" w:color="auto" w:fill="FFFFFF"/>
        </w:rPr>
        <w:t>年1月1日起至202</w:t>
      </w:r>
      <w:r>
        <w:rPr>
          <w:rFonts w:hint="eastAsia" w:ascii="仿宋_GB2312" w:hAnsi="仿宋_GB2312" w:eastAsia="仿宋_GB2312" w:cs="仿宋_GB2312"/>
          <w:i w:val="0"/>
          <w:caps w:val="0"/>
          <w:color w:val="000000"/>
          <w:spacing w:val="15"/>
          <w:sz w:val="32"/>
          <w:szCs w:val="32"/>
          <w:shd w:val="clear" w:color="auto" w:fill="FFFFFF"/>
          <w:lang w:val="en-US" w:eastAsia="zh-CN"/>
        </w:rPr>
        <w:t>5</w:t>
      </w:r>
      <w:r>
        <w:rPr>
          <w:rFonts w:hint="eastAsia" w:ascii="仿宋_GB2312" w:hAnsi="仿宋_GB2312" w:eastAsia="仿宋_GB2312" w:cs="仿宋_GB2312"/>
          <w:i w:val="0"/>
          <w:caps w:val="0"/>
          <w:color w:val="000000"/>
          <w:spacing w:val="15"/>
          <w:sz w:val="32"/>
          <w:szCs w:val="32"/>
          <w:shd w:val="clear" w:color="auto" w:fill="FFFFFF"/>
        </w:rPr>
        <w:t>年12月31日止。</w:t>
      </w:r>
    </w:p>
    <w:p w14:paraId="4AA27B6F">
      <w:pPr>
        <w:keepNext w:val="0"/>
        <w:keepLines w:val="0"/>
        <w:pageBreakBefore w:val="0"/>
        <w:numPr>
          <w:ilvl w:val="0"/>
          <w:numId w:val="1"/>
        </w:numPr>
        <w:kinsoku/>
        <w:wordWrap/>
        <w:overflowPunct/>
        <w:topLinePunct w:val="0"/>
        <w:autoSpaceDE/>
        <w:autoSpaceDN/>
        <w:bidi w:val="0"/>
        <w:adjustRightInd/>
        <w:snapToGrid/>
        <w:spacing w:line="520" w:lineRule="exact"/>
        <w:ind w:left="0" w:leftChars="0" w:firstLine="640" w:firstLineChars="200"/>
        <w:jc w:val="both"/>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总体情况</w:t>
      </w:r>
    </w:p>
    <w:p w14:paraId="0AC60726">
      <w:pPr>
        <w:keepNext w:val="0"/>
        <w:keepLines w:val="0"/>
        <w:pageBreakBefore w:val="0"/>
        <w:widowControl/>
        <w:numPr>
          <w:ilvl w:val="0"/>
          <w:numId w:val="0"/>
        </w:numPr>
        <w:shd w:val="solid" w:color="FFFFFF" w:fill="auto"/>
        <w:kinsoku/>
        <w:wordWrap/>
        <w:overflowPunct/>
        <w:topLinePunct w:val="0"/>
        <w:autoSpaceDE w:val="0"/>
        <w:autoSpaceDN/>
        <w:bidi w:val="0"/>
        <w:adjustRightInd/>
        <w:snapToGrid/>
        <w:spacing w:line="520" w:lineRule="exact"/>
        <w:ind w:left="0" w:leftChars="0" w:right="0" w:rightChars="0" w:firstLine="640" w:firstLineChars="200"/>
        <w:jc w:val="both"/>
        <w:textAlignment w:val="auto"/>
        <w:outlineLvl w:val="9"/>
        <w:rPr>
          <w:rFonts w:hint="eastAsia" w:ascii="楷体_GB2312" w:hAnsi="楷体_GB2312" w:eastAsia="楷体_GB2312" w:cs="楷体_GB2312"/>
          <w:snapToGrid/>
          <w:color w:val="000000"/>
          <w:sz w:val="32"/>
          <w:szCs w:val="32"/>
          <w:shd w:val="clear" w:color="auto" w:fill="FFFFFF"/>
          <w:lang w:eastAsia="zh-CN"/>
        </w:rPr>
      </w:pPr>
      <w:r>
        <w:rPr>
          <w:rFonts w:hint="eastAsia" w:ascii="楷体_GB2312" w:hAnsi="楷体_GB2312" w:eastAsia="楷体_GB2312" w:cs="楷体_GB2312"/>
          <w:snapToGrid/>
          <w:color w:val="000000"/>
          <w:sz w:val="32"/>
          <w:szCs w:val="32"/>
          <w:shd w:val="clear" w:color="auto" w:fill="FFFFFF"/>
          <w:lang w:eastAsia="zh-CN"/>
        </w:rPr>
        <w:t>（一）</w:t>
      </w:r>
      <w:r>
        <w:rPr>
          <w:rFonts w:hint="eastAsia" w:ascii="楷体_GB2312" w:hAnsi="楷体_GB2312" w:eastAsia="楷体_GB2312" w:cs="楷体_GB2312"/>
          <w:snapToGrid/>
          <w:color w:val="000000"/>
          <w:sz w:val="32"/>
          <w:szCs w:val="32"/>
          <w:shd w:val="clear" w:color="auto" w:fill="FFFFFF"/>
          <w:lang w:val="en-US" w:eastAsia="zh-CN"/>
        </w:rPr>
        <w:t>政府信息管理情况</w:t>
      </w:r>
      <w:r>
        <w:rPr>
          <w:rFonts w:hint="eastAsia" w:ascii="楷体_GB2312" w:hAnsi="楷体_GB2312" w:eastAsia="楷体_GB2312" w:cs="楷体_GB2312"/>
          <w:snapToGrid/>
          <w:color w:val="000000"/>
          <w:sz w:val="32"/>
          <w:szCs w:val="32"/>
          <w:shd w:val="clear" w:color="auto" w:fill="FFFFFF"/>
          <w:lang w:eastAsia="zh-CN"/>
        </w:rPr>
        <w:t>。</w:t>
      </w:r>
    </w:p>
    <w:p w14:paraId="6013DA3D">
      <w:pPr>
        <w:keepNext w:val="0"/>
        <w:keepLines w:val="0"/>
        <w:pageBreakBefore w:val="0"/>
        <w:widowControl/>
        <w:numPr>
          <w:ilvl w:val="0"/>
          <w:numId w:val="0"/>
        </w:numPr>
        <w:shd w:val="solid" w:color="FFFFFF" w:fill="auto"/>
        <w:kinsoku/>
        <w:wordWrap/>
        <w:overflowPunct/>
        <w:topLinePunct w:val="0"/>
        <w:autoSpaceDE w:val="0"/>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snapToGrid/>
          <w:color w:val="000000"/>
          <w:sz w:val="32"/>
          <w:szCs w:val="32"/>
          <w:shd w:val="clear" w:color="auto" w:fill="FFFFFF"/>
          <w:lang w:eastAsia="zh-CN"/>
        </w:rPr>
      </w:pPr>
      <w:r>
        <w:rPr>
          <w:rFonts w:hint="eastAsia" w:ascii="仿宋_GB2312" w:hAnsi="仿宋_GB2312" w:eastAsia="仿宋_GB2312" w:cs="仿宋_GB2312"/>
          <w:snapToGrid/>
          <w:color w:val="000000"/>
          <w:sz w:val="32"/>
          <w:szCs w:val="32"/>
          <w:shd w:val="clear" w:color="auto" w:fill="FFFFFF"/>
          <w:lang w:val="en-US" w:eastAsia="zh-CN"/>
        </w:rPr>
        <w:t>一是</w:t>
      </w:r>
      <w:r>
        <w:rPr>
          <w:rFonts w:hint="eastAsia" w:ascii="仿宋_GB2312" w:hAnsi="仿宋_GB2312" w:eastAsia="仿宋_GB2312" w:cs="仿宋_GB2312"/>
          <w:snapToGrid/>
          <w:color w:val="000000"/>
          <w:sz w:val="32"/>
          <w:szCs w:val="32"/>
          <w:shd w:val="clear" w:color="auto" w:fill="FFFFFF"/>
          <w:lang w:eastAsia="zh-CN"/>
        </w:rPr>
        <w:t>健全工作机制：进一步完善局政府信息公开工作制度，明确责任分工，规范信息采集、审核、发布、更新流程，确保公开信息准确、及时、安全。</w:t>
      </w:r>
      <w:r>
        <w:rPr>
          <w:rFonts w:hint="eastAsia" w:ascii="仿宋_GB2312" w:hAnsi="仿宋_GB2312" w:eastAsia="仿宋_GB2312" w:cs="仿宋_GB2312"/>
          <w:snapToGrid/>
          <w:color w:val="000000"/>
          <w:sz w:val="32"/>
          <w:szCs w:val="32"/>
          <w:shd w:val="clear" w:color="auto" w:fill="FFFFFF"/>
          <w:lang w:val="en-US" w:eastAsia="zh-CN"/>
        </w:rPr>
        <w:t>二是</w:t>
      </w:r>
      <w:r>
        <w:rPr>
          <w:rFonts w:hint="eastAsia" w:ascii="仿宋_GB2312" w:hAnsi="仿宋_GB2312" w:eastAsia="仿宋_GB2312" w:cs="仿宋_GB2312"/>
          <w:snapToGrid/>
          <w:color w:val="000000"/>
          <w:sz w:val="32"/>
          <w:szCs w:val="32"/>
          <w:shd w:val="clear" w:color="auto" w:fill="FFFFFF"/>
          <w:lang w:eastAsia="zh-CN"/>
        </w:rPr>
        <w:t>加强平台建设：以区政府门户网站作为政府信息公开第一平台，持续优化栏目设置，增强信息发布的时效性和互动性。</w:t>
      </w:r>
      <w:r>
        <w:rPr>
          <w:rFonts w:hint="eastAsia" w:ascii="仿宋_GB2312" w:hAnsi="仿宋_GB2312" w:eastAsia="仿宋_GB2312" w:cs="仿宋_GB2312"/>
          <w:snapToGrid/>
          <w:color w:val="000000"/>
          <w:sz w:val="32"/>
          <w:szCs w:val="32"/>
          <w:shd w:val="clear" w:color="auto" w:fill="FFFFFF"/>
          <w:lang w:val="en-US" w:eastAsia="zh-CN"/>
        </w:rPr>
        <w:t>三是</w:t>
      </w:r>
      <w:r>
        <w:rPr>
          <w:rFonts w:hint="eastAsia" w:ascii="仿宋_GB2312" w:hAnsi="仿宋_GB2312" w:eastAsia="仿宋_GB2312" w:cs="仿宋_GB2312"/>
          <w:snapToGrid/>
          <w:color w:val="000000"/>
          <w:sz w:val="32"/>
          <w:szCs w:val="32"/>
          <w:shd w:val="clear" w:color="auto" w:fill="FFFFFF"/>
          <w:lang w:eastAsia="zh-CN"/>
        </w:rPr>
        <w:t>落实信息审查：严格执行信息发布保密审查制度，所有拟公开信息均经保密审查和内容审核，确保涉密信息不公开，公开信息不涉密。</w:t>
      </w:r>
    </w:p>
    <w:p w14:paraId="658B79D5">
      <w:pPr>
        <w:keepNext w:val="0"/>
        <w:keepLines w:val="0"/>
        <w:pageBreakBefore w:val="0"/>
        <w:widowControl/>
        <w:numPr>
          <w:ilvl w:val="0"/>
          <w:numId w:val="0"/>
        </w:numPr>
        <w:shd w:val="solid" w:color="FFFFFF" w:fill="auto"/>
        <w:kinsoku/>
        <w:wordWrap/>
        <w:overflowPunct/>
        <w:topLinePunct w:val="0"/>
        <w:autoSpaceDE w:val="0"/>
        <w:autoSpaceDN/>
        <w:bidi w:val="0"/>
        <w:adjustRightInd/>
        <w:snapToGrid/>
        <w:spacing w:line="520" w:lineRule="exact"/>
        <w:ind w:left="0" w:leftChars="0" w:right="0" w:rightChars="0" w:firstLine="640" w:firstLineChars="200"/>
        <w:jc w:val="both"/>
        <w:textAlignment w:val="auto"/>
        <w:outlineLvl w:val="9"/>
        <w:rPr>
          <w:rFonts w:hint="eastAsia" w:ascii="楷体_GB2312" w:hAnsi="楷体_GB2312" w:eastAsia="楷体_GB2312" w:cs="楷体_GB2312"/>
          <w:snapToGrid/>
          <w:color w:val="000000"/>
          <w:sz w:val="32"/>
          <w:szCs w:val="32"/>
          <w:shd w:val="clear" w:color="auto" w:fill="FFFFFF"/>
          <w:lang w:val="en-US" w:eastAsia="zh-CN"/>
        </w:rPr>
      </w:pPr>
      <w:r>
        <w:rPr>
          <w:rFonts w:hint="eastAsia" w:ascii="楷体_GB2312" w:hAnsi="楷体_GB2312" w:eastAsia="楷体_GB2312" w:cs="楷体_GB2312"/>
          <w:snapToGrid/>
          <w:color w:val="000000"/>
          <w:sz w:val="32"/>
          <w:szCs w:val="32"/>
          <w:shd w:val="clear" w:color="auto" w:fill="FFFFFF"/>
          <w:lang w:val="en-US" w:eastAsia="zh-CN"/>
        </w:rPr>
        <w:t>（二）主动公开政府信息情况。</w:t>
      </w:r>
    </w:p>
    <w:p w14:paraId="4DD8530D">
      <w:pPr>
        <w:keepNext w:val="0"/>
        <w:keepLines w:val="0"/>
        <w:pageBreakBefore w:val="0"/>
        <w:widowControl/>
        <w:numPr>
          <w:ilvl w:val="0"/>
          <w:numId w:val="0"/>
        </w:numPr>
        <w:shd w:val="solid" w:color="FFFFFF" w:fill="auto"/>
        <w:kinsoku/>
        <w:wordWrap/>
        <w:overflowPunct/>
        <w:topLinePunct w:val="0"/>
        <w:autoSpaceDE w:val="0"/>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snapToGrid/>
          <w:color w:val="000000"/>
          <w:sz w:val="32"/>
          <w:szCs w:val="32"/>
          <w:shd w:val="clear" w:color="auto" w:fill="FFFFFF"/>
          <w:lang w:eastAsia="zh-CN"/>
        </w:rPr>
      </w:pPr>
      <w:r>
        <w:rPr>
          <w:rFonts w:hint="eastAsia" w:ascii="仿宋_GB2312" w:hAnsi="仿宋_GB2312" w:eastAsia="仿宋_GB2312" w:cs="仿宋_GB2312"/>
          <w:snapToGrid/>
          <w:color w:val="000000"/>
          <w:sz w:val="32"/>
          <w:szCs w:val="32"/>
          <w:shd w:val="clear" w:color="auto" w:fill="FFFFFF"/>
          <w:lang w:val="en-US" w:eastAsia="zh-CN"/>
        </w:rPr>
        <w:t>一是</w:t>
      </w:r>
      <w:r>
        <w:rPr>
          <w:rFonts w:hint="eastAsia" w:ascii="仿宋_GB2312" w:hAnsi="仿宋_GB2312" w:eastAsia="仿宋_GB2312" w:cs="仿宋_GB2312"/>
          <w:snapToGrid/>
          <w:color w:val="000000"/>
          <w:sz w:val="32"/>
          <w:szCs w:val="32"/>
          <w:shd w:val="clear" w:color="auto" w:fill="FFFFFF"/>
          <w:lang w:eastAsia="zh-CN"/>
        </w:rPr>
        <w:t>围绕中心工作深化重点领域公开：聚焦公共文化服务体系建设、重大文旅活动等重点领域，及时通过区政府门户网站公开相关政策文件、发展规划、工作进展</w:t>
      </w:r>
      <w:r>
        <w:rPr>
          <w:rFonts w:hint="eastAsia" w:ascii="仿宋_GB2312" w:hAnsi="仿宋_GB2312" w:eastAsia="仿宋_GB2312" w:cs="仿宋_GB2312"/>
          <w:snapToGrid/>
          <w:color w:val="000000"/>
          <w:sz w:val="32"/>
          <w:szCs w:val="32"/>
          <w:shd w:val="clear" w:color="auto" w:fill="FFFFFF"/>
          <w:lang w:val="en-US" w:eastAsia="zh-CN"/>
        </w:rPr>
        <w:t>等</w:t>
      </w:r>
      <w:r>
        <w:rPr>
          <w:rFonts w:hint="eastAsia" w:ascii="仿宋_GB2312" w:hAnsi="仿宋_GB2312" w:eastAsia="仿宋_GB2312" w:cs="仿宋_GB2312"/>
          <w:snapToGrid/>
          <w:color w:val="000000"/>
          <w:sz w:val="32"/>
          <w:szCs w:val="32"/>
          <w:shd w:val="clear" w:color="auto" w:fill="FFFFFF"/>
          <w:lang w:eastAsia="zh-CN"/>
        </w:rPr>
        <w:t>信息。</w:t>
      </w:r>
      <w:r>
        <w:rPr>
          <w:rFonts w:hint="eastAsia" w:ascii="仿宋_GB2312" w:hAnsi="仿宋_GB2312" w:eastAsia="仿宋_GB2312" w:cs="仿宋_GB2312"/>
          <w:snapToGrid/>
          <w:color w:val="000000"/>
          <w:sz w:val="32"/>
          <w:szCs w:val="32"/>
          <w:shd w:val="clear" w:color="auto" w:fill="FFFFFF"/>
          <w:lang w:val="en-US" w:eastAsia="zh-CN"/>
        </w:rPr>
        <w:t>二是</w:t>
      </w:r>
      <w:r>
        <w:rPr>
          <w:rFonts w:hint="eastAsia" w:ascii="仿宋_GB2312" w:hAnsi="仿宋_GB2312" w:eastAsia="仿宋_GB2312" w:cs="仿宋_GB2312"/>
          <w:snapToGrid/>
          <w:color w:val="000000"/>
          <w:sz w:val="32"/>
          <w:szCs w:val="32"/>
          <w:shd w:val="clear" w:color="auto" w:fill="FFFFFF"/>
          <w:lang w:eastAsia="zh-CN"/>
        </w:rPr>
        <w:t>规范财</w:t>
      </w:r>
      <w:bookmarkStart w:id="0" w:name="_GoBack"/>
      <w:bookmarkEnd w:id="0"/>
      <w:r>
        <w:rPr>
          <w:rFonts w:hint="eastAsia" w:ascii="仿宋_GB2312" w:hAnsi="仿宋_GB2312" w:eastAsia="仿宋_GB2312" w:cs="仿宋_GB2312"/>
          <w:snapToGrid/>
          <w:color w:val="000000"/>
          <w:sz w:val="32"/>
          <w:szCs w:val="32"/>
          <w:shd w:val="clear" w:color="auto" w:fill="FFFFFF"/>
          <w:lang w:eastAsia="zh-CN"/>
        </w:rPr>
        <w:t>政信息公开： 按规定及时公开了区文旅局2025年度部门预算、2024年度部门决算及“三公”经费使用情况，提高财政资金使用的透明度。全年累计主动公开各类政府信息</w:t>
      </w:r>
      <w:r>
        <w:rPr>
          <w:rFonts w:hint="eastAsia" w:ascii="仿宋_GB2312" w:hAnsi="仿宋_GB2312" w:eastAsia="仿宋_GB2312" w:cs="仿宋_GB2312"/>
          <w:snapToGrid/>
          <w:color w:val="000000"/>
          <w:sz w:val="32"/>
          <w:szCs w:val="32"/>
          <w:shd w:val="clear" w:color="auto" w:fill="FFFFFF"/>
          <w:lang w:val="en-US" w:eastAsia="zh-CN"/>
        </w:rPr>
        <w:t>10</w:t>
      </w:r>
      <w:r>
        <w:rPr>
          <w:rFonts w:hint="eastAsia" w:ascii="仿宋_GB2312" w:hAnsi="仿宋_GB2312" w:eastAsia="仿宋_GB2312" w:cs="仿宋_GB2312"/>
          <w:snapToGrid/>
          <w:color w:val="000000"/>
          <w:sz w:val="32"/>
          <w:szCs w:val="32"/>
          <w:shd w:val="clear" w:color="auto" w:fill="FFFFFF"/>
          <w:lang w:eastAsia="zh-CN"/>
        </w:rPr>
        <w:t>条。</w:t>
      </w:r>
    </w:p>
    <w:p w14:paraId="2DE757D3">
      <w:pPr>
        <w:keepNext w:val="0"/>
        <w:keepLines w:val="0"/>
        <w:pageBreakBefore w:val="0"/>
        <w:widowControl/>
        <w:numPr>
          <w:ilvl w:val="0"/>
          <w:numId w:val="0"/>
        </w:numPr>
        <w:shd w:val="solid" w:color="FFFFFF" w:fill="auto"/>
        <w:kinsoku/>
        <w:wordWrap/>
        <w:overflowPunct/>
        <w:topLinePunct w:val="0"/>
        <w:autoSpaceDE w:val="0"/>
        <w:autoSpaceDN/>
        <w:bidi w:val="0"/>
        <w:adjustRightInd/>
        <w:snapToGrid/>
        <w:spacing w:line="520" w:lineRule="exact"/>
        <w:ind w:left="0" w:leftChars="0" w:right="0" w:rightChars="0" w:firstLine="640" w:firstLineChars="200"/>
        <w:jc w:val="both"/>
        <w:textAlignment w:val="auto"/>
        <w:outlineLvl w:val="9"/>
        <w:rPr>
          <w:rFonts w:hint="default" w:ascii="楷体_GB2312" w:hAnsi="楷体_GB2312" w:eastAsia="楷体_GB2312" w:cs="楷体_GB2312"/>
          <w:snapToGrid/>
          <w:color w:val="000000"/>
          <w:sz w:val="32"/>
          <w:szCs w:val="32"/>
          <w:shd w:val="clear" w:color="auto" w:fill="FFFFFF"/>
          <w:lang w:val="en-US" w:eastAsia="zh-CN"/>
        </w:rPr>
      </w:pPr>
      <w:r>
        <w:rPr>
          <w:rFonts w:hint="eastAsia" w:ascii="楷体_GB2312" w:hAnsi="楷体_GB2312" w:eastAsia="楷体_GB2312" w:cs="楷体_GB2312"/>
          <w:snapToGrid/>
          <w:color w:val="000000"/>
          <w:sz w:val="32"/>
          <w:szCs w:val="32"/>
          <w:shd w:val="clear" w:color="auto" w:fill="FFFFFF"/>
          <w:lang w:val="en-US" w:eastAsia="zh-CN"/>
        </w:rPr>
        <w:t>（三）</w:t>
      </w:r>
      <w:r>
        <w:rPr>
          <w:rFonts w:hint="default" w:ascii="楷体_GB2312" w:hAnsi="楷体_GB2312" w:eastAsia="楷体_GB2312" w:cs="楷体_GB2312"/>
          <w:snapToGrid/>
          <w:color w:val="000000"/>
          <w:sz w:val="32"/>
          <w:szCs w:val="32"/>
          <w:shd w:val="clear" w:color="auto" w:fill="FFFFFF"/>
          <w:lang w:val="en-US" w:eastAsia="zh-CN"/>
        </w:rPr>
        <w:t>依申请公开政府信息情况</w:t>
      </w:r>
    </w:p>
    <w:p w14:paraId="1C16A460">
      <w:pPr>
        <w:pStyle w:val="8"/>
        <w:keepNext w:val="0"/>
        <w:keepLines w:val="0"/>
        <w:pageBreakBefore w:val="0"/>
        <w:widowControl/>
        <w:suppressLineNumbers w:val="0"/>
        <w:pBdr>
          <w:lef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leftChars="0" w:right="0" w:firstLine="700" w:firstLineChars="200"/>
        <w:jc w:val="both"/>
        <w:textAlignment w:val="auto"/>
        <w:outlineLvl w:val="9"/>
        <w:rPr>
          <w:rFonts w:hint="default" w:ascii="仿宋_GB2312" w:hAnsi="仿宋_GB2312" w:eastAsia="仿宋_GB2312" w:cs="仿宋_GB2312"/>
          <w:i w:val="0"/>
          <w:caps w:val="0"/>
          <w:color w:val="000000"/>
          <w:spacing w:val="15"/>
          <w:sz w:val="32"/>
          <w:szCs w:val="32"/>
          <w:shd w:val="clear" w:color="auto" w:fill="FFFFFF"/>
          <w:lang w:eastAsia="zh-CN"/>
        </w:rPr>
      </w:pPr>
      <w:r>
        <w:rPr>
          <w:rFonts w:hint="default" w:ascii="仿宋_GB2312" w:hAnsi="仿宋_GB2312" w:eastAsia="仿宋_GB2312" w:cs="仿宋_GB2312"/>
          <w:i w:val="0"/>
          <w:caps w:val="0"/>
          <w:color w:val="000000"/>
          <w:spacing w:val="15"/>
          <w:sz w:val="32"/>
          <w:szCs w:val="32"/>
          <w:shd w:val="clear" w:color="auto" w:fill="FFFFFF"/>
          <w:lang w:eastAsia="zh-CN"/>
        </w:rPr>
        <w:t>本年度未产生依申请公开政府信息</w:t>
      </w:r>
      <w:r>
        <w:rPr>
          <w:rFonts w:hint="eastAsia" w:ascii="仿宋_GB2312" w:hAnsi="仿宋_GB2312" w:eastAsia="仿宋_GB2312" w:cs="仿宋_GB2312"/>
          <w:i w:val="0"/>
          <w:caps w:val="0"/>
          <w:color w:val="000000"/>
          <w:spacing w:val="15"/>
          <w:sz w:val="32"/>
          <w:szCs w:val="32"/>
          <w:shd w:val="clear" w:color="auto" w:fill="FFFFFF"/>
          <w:lang w:eastAsia="zh-CN"/>
        </w:rPr>
        <w:t>。</w:t>
      </w:r>
    </w:p>
    <w:p w14:paraId="478714F6">
      <w:pPr>
        <w:keepNext w:val="0"/>
        <w:keepLines w:val="0"/>
        <w:pageBreakBefore w:val="0"/>
        <w:widowControl/>
        <w:numPr>
          <w:ilvl w:val="0"/>
          <w:numId w:val="0"/>
        </w:numPr>
        <w:shd w:val="solid" w:color="FFFFFF" w:fill="auto"/>
        <w:kinsoku/>
        <w:wordWrap/>
        <w:overflowPunct/>
        <w:topLinePunct w:val="0"/>
        <w:autoSpaceDE w:val="0"/>
        <w:autoSpaceDN/>
        <w:bidi w:val="0"/>
        <w:adjustRightInd/>
        <w:snapToGrid/>
        <w:spacing w:line="520" w:lineRule="exact"/>
        <w:ind w:left="0" w:leftChars="0" w:right="0" w:rightChars="0" w:firstLine="640" w:firstLineChars="200"/>
        <w:jc w:val="both"/>
        <w:textAlignment w:val="auto"/>
        <w:outlineLvl w:val="9"/>
        <w:rPr>
          <w:rFonts w:hint="default" w:ascii="楷体_GB2312" w:hAnsi="楷体_GB2312" w:eastAsia="楷体_GB2312" w:cs="楷体_GB2312"/>
          <w:snapToGrid/>
          <w:color w:val="000000"/>
          <w:sz w:val="32"/>
          <w:szCs w:val="32"/>
          <w:shd w:val="clear" w:color="auto" w:fill="FFFFFF"/>
          <w:lang w:val="en-US" w:eastAsia="zh-CN"/>
        </w:rPr>
      </w:pPr>
      <w:r>
        <w:rPr>
          <w:rFonts w:hint="eastAsia" w:ascii="楷体_GB2312" w:hAnsi="楷体_GB2312" w:eastAsia="楷体_GB2312" w:cs="楷体_GB2312"/>
          <w:snapToGrid/>
          <w:color w:val="000000"/>
          <w:sz w:val="32"/>
          <w:szCs w:val="32"/>
          <w:shd w:val="clear" w:color="auto" w:fill="FFFFFF"/>
          <w:lang w:val="en-US" w:eastAsia="zh-CN"/>
        </w:rPr>
        <w:t>(四)</w:t>
      </w:r>
      <w:r>
        <w:rPr>
          <w:rFonts w:hint="default" w:ascii="楷体_GB2312" w:hAnsi="楷体_GB2312" w:eastAsia="楷体_GB2312" w:cs="楷体_GB2312"/>
          <w:snapToGrid/>
          <w:color w:val="000000"/>
          <w:sz w:val="32"/>
          <w:szCs w:val="32"/>
          <w:shd w:val="clear" w:color="auto" w:fill="FFFFFF"/>
          <w:lang w:val="en-US" w:eastAsia="zh-CN"/>
        </w:rPr>
        <w:t>行政复议和行政诉讼情况</w:t>
      </w:r>
    </w:p>
    <w:p w14:paraId="27A51EB7">
      <w:pPr>
        <w:keepNext w:val="0"/>
        <w:keepLines w:val="0"/>
        <w:pageBreakBefore w:val="0"/>
        <w:widowControl/>
        <w:shd w:val="solid" w:color="FFFFFF" w:fill="auto"/>
        <w:kinsoku/>
        <w:wordWrap/>
        <w:overflowPunct/>
        <w:topLinePunct w:val="0"/>
        <w:autoSpaceDE w:val="0"/>
        <w:autoSpaceDN/>
        <w:bidi w:val="0"/>
        <w:adjustRightInd/>
        <w:snapToGrid/>
        <w:spacing w:line="520" w:lineRule="exact"/>
        <w:ind w:left="0" w:leftChars="0" w:right="0" w:rightChars="0" w:firstLine="700" w:firstLineChars="200"/>
        <w:jc w:val="both"/>
        <w:textAlignment w:val="auto"/>
        <w:outlineLvl w:val="9"/>
        <w:rPr>
          <w:rFonts w:hint="default" w:ascii="仿宋_GB2312" w:hAnsi="仿宋_GB2312" w:eastAsia="仿宋_GB2312"/>
          <w:snapToGrid/>
          <w:color w:val="000000"/>
          <w:sz w:val="32"/>
          <w:shd w:val="clear" w:color="auto" w:fill="FFFFFF"/>
          <w:lang w:eastAsia="zh-CN"/>
        </w:rPr>
      </w:pPr>
      <w:r>
        <w:rPr>
          <w:rFonts w:hint="default" w:ascii="仿宋_GB2312" w:hAnsi="仿宋_GB2312" w:eastAsia="仿宋_GB2312" w:cs="仿宋_GB2312"/>
          <w:i w:val="0"/>
          <w:caps w:val="0"/>
          <w:color w:val="000000"/>
          <w:spacing w:val="15"/>
          <w:kern w:val="0"/>
          <w:sz w:val="32"/>
          <w:szCs w:val="32"/>
          <w:shd w:val="clear" w:color="auto" w:fill="FFFFFF"/>
          <w:lang w:val="en-US" w:eastAsia="zh-CN" w:bidi="ar"/>
        </w:rPr>
        <w:t>本年度未产生因不服政府信息公开申请答复引发的行政复议和诉讼事件。</w:t>
      </w:r>
    </w:p>
    <w:p w14:paraId="5340C5A2">
      <w:pPr>
        <w:keepNext w:val="0"/>
        <w:keepLines w:val="0"/>
        <w:pageBreakBefore w:val="0"/>
        <w:numPr>
          <w:ilvl w:val="0"/>
          <w:numId w:val="0"/>
        </w:numPr>
        <w:kinsoku/>
        <w:wordWrap/>
        <w:overflowPunct/>
        <w:topLinePunct w:val="0"/>
        <w:autoSpaceDN/>
        <w:bidi w:val="0"/>
        <w:adjustRightInd/>
        <w:snapToGrid/>
        <w:spacing w:line="520" w:lineRule="exact"/>
        <w:ind w:left="0" w:leftChars="0" w:firstLine="640" w:firstLineChars="200"/>
        <w:jc w:val="both"/>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二、主动公开政府信息情况</w:t>
      </w:r>
    </w:p>
    <w:tbl>
      <w:tblPr>
        <w:tblStyle w:val="10"/>
        <w:tblW w:w="8900"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2241"/>
        <w:gridCol w:w="931"/>
        <w:gridCol w:w="174"/>
        <w:gridCol w:w="1830"/>
        <w:gridCol w:w="1562"/>
        <w:gridCol w:w="2162"/>
      </w:tblGrid>
      <w:tr w14:paraId="30E510B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84" w:hRule="atLeast"/>
        </w:trPr>
        <w:tc>
          <w:tcPr>
            <w:tcW w:w="8900" w:type="dxa"/>
            <w:gridSpan w:val="6"/>
            <w:tcBorders>
              <w:top w:val="single" w:color="auto" w:sz="6" w:space="0"/>
              <w:left w:val="single" w:color="auto" w:sz="6" w:space="0"/>
              <w:bottom w:val="single" w:color="auto" w:sz="6" w:space="0"/>
              <w:right w:val="single" w:color="auto" w:sz="6" w:space="0"/>
            </w:tcBorders>
            <w:shd w:val="clear" w:color="auto" w:fill="auto"/>
            <w:noWrap/>
            <w:vAlign w:val="center"/>
          </w:tcPr>
          <w:p w14:paraId="41D639A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第二十条第（一）项</w:t>
            </w:r>
          </w:p>
        </w:tc>
      </w:tr>
      <w:tr w14:paraId="7856ED5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84" w:hRule="atLeast"/>
        </w:trPr>
        <w:tc>
          <w:tcPr>
            <w:tcW w:w="3172" w:type="dxa"/>
            <w:gridSpan w:val="2"/>
            <w:tcBorders>
              <w:top w:val="nil"/>
              <w:left w:val="single" w:color="auto" w:sz="6" w:space="0"/>
              <w:bottom w:val="single" w:color="auto" w:sz="6" w:space="0"/>
              <w:right w:val="single" w:color="auto" w:sz="6" w:space="0"/>
            </w:tcBorders>
            <w:shd w:val="clear" w:color="auto" w:fill="auto"/>
            <w:noWrap/>
            <w:vAlign w:val="center"/>
          </w:tcPr>
          <w:p w14:paraId="0811095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信息内容</w:t>
            </w:r>
          </w:p>
        </w:tc>
        <w:tc>
          <w:tcPr>
            <w:tcW w:w="2004" w:type="dxa"/>
            <w:gridSpan w:val="2"/>
            <w:tcBorders>
              <w:top w:val="single" w:color="auto" w:sz="6" w:space="0"/>
              <w:left w:val="nil"/>
              <w:bottom w:val="single" w:color="auto" w:sz="6" w:space="0"/>
              <w:right w:val="single" w:color="auto" w:sz="6" w:space="0"/>
            </w:tcBorders>
            <w:shd w:val="clear" w:color="auto" w:fill="auto"/>
            <w:noWrap/>
            <w:vAlign w:val="center"/>
          </w:tcPr>
          <w:p w14:paraId="384FD3D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本年制发件数</w:t>
            </w:r>
          </w:p>
        </w:tc>
        <w:tc>
          <w:tcPr>
            <w:tcW w:w="1562" w:type="dxa"/>
            <w:tcBorders>
              <w:top w:val="single" w:color="auto" w:sz="6" w:space="0"/>
              <w:left w:val="nil"/>
              <w:bottom w:val="single" w:color="auto" w:sz="6" w:space="0"/>
              <w:right w:val="single" w:color="auto" w:sz="6" w:space="0"/>
            </w:tcBorders>
            <w:shd w:val="clear" w:color="auto" w:fill="auto"/>
            <w:noWrap/>
            <w:vAlign w:val="center"/>
          </w:tcPr>
          <w:p w14:paraId="2063132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本年废止件数</w:t>
            </w:r>
          </w:p>
        </w:tc>
        <w:tc>
          <w:tcPr>
            <w:tcW w:w="2162" w:type="dxa"/>
            <w:tcBorders>
              <w:top w:val="single" w:color="auto" w:sz="6" w:space="0"/>
              <w:left w:val="nil"/>
              <w:bottom w:val="single" w:color="auto" w:sz="6" w:space="0"/>
              <w:right w:val="single" w:color="auto" w:sz="6" w:space="0"/>
            </w:tcBorders>
            <w:shd w:val="clear" w:color="auto" w:fill="auto"/>
            <w:noWrap/>
            <w:vAlign w:val="center"/>
          </w:tcPr>
          <w:p w14:paraId="6CEC300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现行有效件数</w:t>
            </w:r>
          </w:p>
        </w:tc>
      </w:tr>
      <w:tr w14:paraId="1D7BB6C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84" w:hRule="atLeast"/>
        </w:trPr>
        <w:tc>
          <w:tcPr>
            <w:tcW w:w="3172" w:type="dxa"/>
            <w:gridSpan w:val="2"/>
            <w:tcBorders>
              <w:top w:val="nil"/>
              <w:left w:val="single" w:color="auto" w:sz="6" w:space="0"/>
              <w:bottom w:val="single" w:color="auto" w:sz="6" w:space="0"/>
              <w:right w:val="single" w:color="auto" w:sz="6" w:space="0"/>
            </w:tcBorders>
            <w:shd w:val="clear" w:color="auto" w:fill="auto"/>
            <w:noWrap/>
            <w:vAlign w:val="center"/>
          </w:tcPr>
          <w:p w14:paraId="521D781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规章</w:t>
            </w:r>
          </w:p>
        </w:tc>
        <w:tc>
          <w:tcPr>
            <w:tcW w:w="2004" w:type="dxa"/>
            <w:gridSpan w:val="2"/>
            <w:tcBorders>
              <w:top w:val="nil"/>
              <w:left w:val="nil"/>
              <w:bottom w:val="single" w:color="auto" w:sz="6" w:space="0"/>
              <w:right w:val="single" w:color="auto" w:sz="6" w:space="0"/>
            </w:tcBorders>
            <w:shd w:val="clear" w:color="auto" w:fill="auto"/>
            <w:noWrap/>
            <w:vAlign w:val="center"/>
          </w:tcPr>
          <w:p w14:paraId="1B137DF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1562" w:type="dxa"/>
            <w:tcBorders>
              <w:top w:val="nil"/>
              <w:left w:val="nil"/>
              <w:bottom w:val="single" w:color="auto" w:sz="6" w:space="0"/>
              <w:right w:val="single" w:color="auto" w:sz="6" w:space="0"/>
            </w:tcBorders>
            <w:shd w:val="clear" w:color="auto" w:fill="auto"/>
            <w:noWrap/>
            <w:vAlign w:val="center"/>
          </w:tcPr>
          <w:p w14:paraId="781D664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2162" w:type="dxa"/>
            <w:tcBorders>
              <w:top w:val="nil"/>
              <w:left w:val="nil"/>
              <w:bottom w:val="single" w:color="auto" w:sz="6" w:space="0"/>
              <w:right w:val="single" w:color="auto" w:sz="6" w:space="0"/>
            </w:tcBorders>
            <w:shd w:val="clear" w:color="auto" w:fill="auto"/>
            <w:noWrap/>
            <w:vAlign w:val="center"/>
          </w:tcPr>
          <w:p w14:paraId="6F126D4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05AAEC4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84" w:hRule="atLeast"/>
        </w:trPr>
        <w:tc>
          <w:tcPr>
            <w:tcW w:w="3172" w:type="dxa"/>
            <w:gridSpan w:val="2"/>
            <w:tcBorders>
              <w:top w:val="nil"/>
              <w:left w:val="single" w:color="auto" w:sz="6" w:space="0"/>
              <w:bottom w:val="single" w:color="auto" w:sz="6" w:space="0"/>
              <w:right w:val="single" w:color="auto" w:sz="6" w:space="0"/>
            </w:tcBorders>
            <w:shd w:val="clear" w:color="auto" w:fill="auto"/>
            <w:noWrap/>
            <w:vAlign w:val="center"/>
          </w:tcPr>
          <w:p w14:paraId="360026E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规范性文件</w:t>
            </w:r>
          </w:p>
        </w:tc>
        <w:tc>
          <w:tcPr>
            <w:tcW w:w="2004" w:type="dxa"/>
            <w:gridSpan w:val="2"/>
            <w:tcBorders>
              <w:top w:val="nil"/>
              <w:left w:val="nil"/>
              <w:bottom w:val="single" w:color="auto" w:sz="6" w:space="0"/>
              <w:right w:val="single" w:color="auto" w:sz="6" w:space="0"/>
            </w:tcBorders>
            <w:shd w:val="clear" w:color="auto" w:fill="auto"/>
            <w:noWrap/>
            <w:vAlign w:val="center"/>
          </w:tcPr>
          <w:p w14:paraId="7D7DB47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1562" w:type="dxa"/>
            <w:tcBorders>
              <w:top w:val="nil"/>
              <w:left w:val="nil"/>
              <w:bottom w:val="single" w:color="auto" w:sz="6" w:space="0"/>
              <w:right w:val="single" w:color="auto" w:sz="6" w:space="0"/>
            </w:tcBorders>
            <w:shd w:val="clear" w:color="auto" w:fill="auto"/>
            <w:noWrap/>
            <w:vAlign w:val="center"/>
          </w:tcPr>
          <w:p w14:paraId="59BE9C4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2162" w:type="dxa"/>
            <w:tcBorders>
              <w:top w:val="nil"/>
              <w:left w:val="nil"/>
              <w:bottom w:val="single" w:color="auto" w:sz="6" w:space="0"/>
              <w:right w:val="single" w:color="auto" w:sz="6" w:space="0"/>
            </w:tcBorders>
            <w:shd w:val="clear" w:color="auto" w:fill="auto"/>
            <w:noWrap/>
            <w:vAlign w:val="center"/>
          </w:tcPr>
          <w:p w14:paraId="427D0C2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0D0044F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84" w:hRule="atLeast"/>
        </w:trPr>
        <w:tc>
          <w:tcPr>
            <w:tcW w:w="8900" w:type="dxa"/>
            <w:gridSpan w:val="6"/>
            <w:tcBorders>
              <w:top w:val="nil"/>
              <w:left w:val="single" w:color="auto" w:sz="6" w:space="0"/>
              <w:bottom w:val="single" w:color="auto" w:sz="6" w:space="0"/>
              <w:right w:val="single" w:color="auto" w:sz="6" w:space="0"/>
            </w:tcBorders>
            <w:shd w:val="clear" w:color="auto" w:fill="auto"/>
            <w:noWrap/>
            <w:vAlign w:val="center"/>
          </w:tcPr>
          <w:p w14:paraId="05072F7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第二十条第（五）项</w:t>
            </w:r>
          </w:p>
        </w:tc>
      </w:tr>
      <w:tr w14:paraId="1355A90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84" w:hRule="atLeast"/>
        </w:trPr>
        <w:tc>
          <w:tcPr>
            <w:tcW w:w="3346" w:type="dxa"/>
            <w:gridSpan w:val="3"/>
            <w:tcBorders>
              <w:top w:val="nil"/>
              <w:left w:val="single" w:color="auto" w:sz="6" w:space="0"/>
              <w:bottom w:val="single" w:color="auto" w:sz="6" w:space="0"/>
              <w:right w:val="single" w:color="auto" w:sz="6" w:space="0"/>
            </w:tcBorders>
            <w:shd w:val="clear" w:color="auto" w:fill="auto"/>
            <w:noWrap/>
            <w:vAlign w:val="center"/>
          </w:tcPr>
          <w:p w14:paraId="03C1F25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信息内容</w:t>
            </w:r>
          </w:p>
        </w:tc>
        <w:tc>
          <w:tcPr>
            <w:tcW w:w="5554" w:type="dxa"/>
            <w:gridSpan w:val="3"/>
            <w:tcBorders>
              <w:top w:val="single" w:color="auto" w:sz="6" w:space="0"/>
              <w:left w:val="nil"/>
              <w:bottom w:val="single" w:color="auto" w:sz="6" w:space="0"/>
              <w:right w:val="single" w:color="auto" w:sz="6" w:space="0"/>
            </w:tcBorders>
            <w:shd w:val="clear" w:color="auto" w:fill="auto"/>
            <w:noWrap/>
            <w:vAlign w:val="center"/>
          </w:tcPr>
          <w:p w14:paraId="29A23F9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本年处理决定数量</w:t>
            </w:r>
          </w:p>
        </w:tc>
      </w:tr>
      <w:tr w14:paraId="1ECD7AD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84" w:hRule="atLeast"/>
        </w:trPr>
        <w:tc>
          <w:tcPr>
            <w:tcW w:w="3346" w:type="dxa"/>
            <w:gridSpan w:val="3"/>
            <w:tcBorders>
              <w:top w:val="nil"/>
              <w:left w:val="single" w:color="auto" w:sz="6" w:space="0"/>
              <w:bottom w:val="single" w:color="auto" w:sz="6" w:space="0"/>
              <w:right w:val="single" w:color="auto" w:sz="6" w:space="0"/>
            </w:tcBorders>
            <w:shd w:val="clear" w:color="auto" w:fill="auto"/>
            <w:noWrap/>
            <w:vAlign w:val="center"/>
          </w:tcPr>
          <w:p w14:paraId="0DCDA34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行政许可</w:t>
            </w:r>
          </w:p>
        </w:tc>
        <w:tc>
          <w:tcPr>
            <w:tcW w:w="5554" w:type="dxa"/>
            <w:gridSpan w:val="3"/>
            <w:tcBorders>
              <w:top w:val="nil"/>
              <w:left w:val="nil"/>
              <w:bottom w:val="single" w:color="auto" w:sz="6" w:space="0"/>
              <w:right w:val="single" w:color="auto" w:sz="6" w:space="0"/>
            </w:tcBorders>
            <w:shd w:val="clear" w:color="auto" w:fill="auto"/>
            <w:noWrap/>
            <w:vAlign w:val="center"/>
          </w:tcPr>
          <w:p w14:paraId="5F345A5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62B07DA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84" w:hRule="atLeast"/>
        </w:trPr>
        <w:tc>
          <w:tcPr>
            <w:tcW w:w="8900" w:type="dxa"/>
            <w:gridSpan w:val="6"/>
            <w:tcBorders>
              <w:top w:val="nil"/>
              <w:left w:val="single" w:color="auto" w:sz="6" w:space="0"/>
              <w:bottom w:val="single" w:color="auto" w:sz="6" w:space="0"/>
              <w:right w:val="single" w:color="auto" w:sz="6" w:space="0"/>
            </w:tcBorders>
            <w:shd w:val="clear" w:color="auto" w:fill="auto"/>
            <w:noWrap/>
            <w:vAlign w:val="center"/>
          </w:tcPr>
          <w:p w14:paraId="45FC733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第二十条第（六）项</w:t>
            </w:r>
          </w:p>
        </w:tc>
      </w:tr>
      <w:tr w14:paraId="5E3F94B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84" w:hRule="atLeast"/>
        </w:trPr>
        <w:tc>
          <w:tcPr>
            <w:tcW w:w="2241" w:type="dxa"/>
            <w:tcBorders>
              <w:top w:val="nil"/>
              <w:left w:val="single" w:color="auto" w:sz="6" w:space="0"/>
              <w:bottom w:val="single" w:color="auto" w:sz="6" w:space="0"/>
              <w:right w:val="single" w:color="auto" w:sz="6" w:space="0"/>
            </w:tcBorders>
            <w:shd w:val="clear" w:color="auto" w:fill="auto"/>
            <w:noWrap/>
            <w:vAlign w:val="center"/>
          </w:tcPr>
          <w:p w14:paraId="6BE6E21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信息内容</w:t>
            </w:r>
          </w:p>
        </w:tc>
        <w:tc>
          <w:tcPr>
            <w:tcW w:w="6659" w:type="dxa"/>
            <w:gridSpan w:val="5"/>
            <w:tcBorders>
              <w:top w:val="single" w:color="auto" w:sz="6" w:space="0"/>
              <w:left w:val="nil"/>
              <w:bottom w:val="single" w:color="auto" w:sz="6" w:space="0"/>
              <w:right w:val="single" w:color="auto" w:sz="6" w:space="0"/>
            </w:tcBorders>
            <w:shd w:val="clear" w:color="auto" w:fill="auto"/>
            <w:noWrap/>
            <w:vAlign w:val="center"/>
          </w:tcPr>
          <w:p w14:paraId="3AF4001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本年处理决定数量</w:t>
            </w:r>
          </w:p>
        </w:tc>
      </w:tr>
      <w:tr w14:paraId="4332477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84" w:hRule="atLeast"/>
        </w:trPr>
        <w:tc>
          <w:tcPr>
            <w:tcW w:w="2241" w:type="dxa"/>
            <w:tcBorders>
              <w:top w:val="nil"/>
              <w:left w:val="single" w:color="auto" w:sz="6" w:space="0"/>
              <w:bottom w:val="single" w:color="auto" w:sz="6" w:space="0"/>
              <w:right w:val="single" w:color="auto" w:sz="6" w:space="0"/>
            </w:tcBorders>
            <w:shd w:val="clear" w:color="auto" w:fill="auto"/>
            <w:noWrap/>
            <w:vAlign w:val="center"/>
          </w:tcPr>
          <w:p w14:paraId="4B4A8F7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行政处罚</w:t>
            </w:r>
          </w:p>
        </w:tc>
        <w:tc>
          <w:tcPr>
            <w:tcW w:w="6659" w:type="dxa"/>
            <w:gridSpan w:val="5"/>
            <w:tcBorders>
              <w:top w:val="nil"/>
              <w:left w:val="nil"/>
              <w:bottom w:val="single" w:color="auto" w:sz="6" w:space="0"/>
              <w:right w:val="single" w:color="auto" w:sz="6" w:space="0"/>
            </w:tcBorders>
            <w:shd w:val="clear" w:color="auto" w:fill="auto"/>
            <w:noWrap/>
            <w:vAlign w:val="center"/>
          </w:tcPr>
          <w:p w14:paraId="4A5D7EA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67DDA69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84" w:hRule="atLeast"/>
        </w:trPr>
        <w:tc>
          <w:tcPr>
            <w:tcW w:w="2241" w:type="dxa"/>
            <w:tcBorders>
              <w:top w:val="nil"/>
              <w:left w:val="single" w:color="auto" w:sz="6" w:space="0"/>
              <w:bottom w:val="single" w:color="auto" w:sz="6" w:space="0"/>
              <w:right w:val="single" w:color="auto" w:sz="6" w:space="0"/>
            </w:tcBorders>
            <w:shd w:val="clear" w:color="auto" w:fill="auto"/>
            <w:noWrap/>
            <w:vAlign w:val="center"/>
          </w:tcPr>
          <w:p w14:paraId="5A15EC2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行政强制</w:t>
            </w:r>
          </w:p>
        </w:tc>
        <w:tc>
          <w:tcPr>
            <w:tcW w:w="6659" w:type="dxa"/>
            <w:gridSpan w:val="5"/>
            <w:tcBorders>
              <w:top w:val="nil"/>
              <w:left w:val="nil"/>
              <w:bottom w:val="single" w:color="auto" w:sz="6" w:space="0"/>
              <w:right w:val="single" w:color="auto" w:sz="6" w:space="0"/>
            </w:tcBorders>
            <w:shd w:val="clear" w:color="auto" w:fill="auto"/>
            <w:noWrap/>
            <w:vAlign w:val="center"/>
          </w:tcPr>
          <w:p w14:paraId="7CAE4BF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2928983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84" w:hRule="atLeast"/>
        </w:trPr>
        <w:tc>
          <w:tcPr>
            <w:tcW w:w="8900" w:type="dxa"/>
            <w:gridSpan w:val="6"/>
            <w:tcBorders>
              <w:top w:val="nil"/>
              <w:left w:val="single" w:color="auto" w:sz="6" w:space="0"/>
              <w:bottom w:val="single" w:color="auto" w:sz="6" w:space="0"/>
              <w:right w:val="single" w:color="auto" w:sz="6" w:space="0"/>
            </w:tcBorders>
            <w:shd w:val="clear" w:color="auto" w:fill="auto"/>
            <w:noWrap/>
            <w:vAlign w:val="center"/>
          </w:tcPr>
          <w:p w14:paraId="23BC8C5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第二十条第（八）项</w:t>
            </w:r>
          </w:p>
        </w:tc>
      </w:tr>
      <w:tr w14:paraId="2CE798C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84" w:hRule="atLeast"/>
        </w:trPr>
        <w:tc>
          <w:tcPr>
            <w:tcW w:w="2241" w:type="dxa"/>
            <w:tcBorders>
              <w:top w:val="nil"/>
              <w:left w:val="single" w:color="auto" w:sz="6" w:space="0"/>
              <w:bottom w:val="single" w:color="auto" w:sz="6" w:space="0"/>
              <w:right w:val="single" w:color="auto" w:sz="6" w:space="0"/>
            </w:tcBorders>
            <w:shd w:val="clear" w:color="auto" w:fill="auto"/>
            <w:noWrap/>
            <w:vAlign w:val="center"/>
          </w:tcPr>
          <w:p w14:paraId="357F20A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信息内容</w:t>
            </w:r>
          </w:p>
        </w:tc>
        <w:tc>
          <w:tcPr>
            <w:tcW w:w="6659" w:type="dxa"/>
            <w:gridSpan w:val="5"/>
            <w:tcBorders>
              <w:top w:val="single" w:color="auto" w:sz="6" w:space="0"/>
              <w:left w:val="nil"/>
              <w:bottom w:val="single" w:color="auto" w:sz="6" w:space="0"/>
              <w:right w:val="single" w:color="auto" w:sz="6" w:space="0"/>
            </w:tcBorders>
            <w:shd w:val="clear" w:color="auto" w:fill="auto"/>
            <w:noWrap/>
            <w:vAlign w:val="center"/>
          </w:tcPr>
          <w:p w14:paraId="24998EF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本年收费金额（单位：万元）</w:t>
            </w:r>
          </w:p>
        </w:tc>
      </w:tr>
      <w:tr w14:paraId="795DE44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98" w:hRule="atLeast"/>
        </w:trPr>
        <w:tc>
          <w:tcPr>
            <w:tcW w:w="2241" w:type="dxa"/>
            <w:tcBorders>
              <w:top w:val="nil"/>
              <w:left w:val="single" w:color="auto" w:sz="6" w:space="0"/>
              <w:bottom w:val="single" w:color="auto" w:sz="6" w:space="0"/>
              <w:right w:val="single" w:color="auto" w:sz="6" w:space="0"/>
            </w:tcBorders>
            <w:shd w:val="clear" w:color="auto" w:fill="auto"/>
            <w:noWrap/>
            <w:vAlign w:val="center"/>
          </w:tcPr>
          <w:p w14:paraId="4AFBCE4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行政事业性收费</w:t>
            </w:r>
          </w:p>
        </w:tc>
        <w:tc>
          <w:tcPr>
            <w:tcW w:w="6659" w:type="dxa"/>
            <w:gridSpan w:val="5"/>
            <w:tcBorders>
              <w:top w:val="nil"/>
              <w:left w:val="nil"/>
              <w:bottom w:val="single" w:color="auto" w:sz="6" w:space="0"/>
              <w:right w:val="single" w:color="auto" w:sz="6" w:space="0"/>
            </w:tcBorders>
            <w:shd w:val="clear" w:color="auto" w:fill="auto"/>
            <w:noWrap/>
            <w:vAlign w:val="center"/>
          </w:tcPr>
          <w:p w14:paraId="15A2965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bl>
    <w:p w14:paraId="57A24873">
      <w:pPr>
        <w:keepNext w:val="0"/>
        <w:keepLines w:val="0"/>
        <w:pageBreakBefore w:val="0"/>
        <w:numPr>
          <w:ilvl w:val="0"/>
          <w:numId w:val="0"/>
        </w:numPr>
        <w:kinsoku/>
        <w:wordWrap/>
        <w:overflowPunct/>
        <w:topLinePunct w:val="0"/>
        <w:autoSpaceDN/>
        <w:bidi w:val="0"/>
        <w:adjustRightInd/>
        <w:snapToGrid/>
        <w:spacing w:line="520" w:lineRule="exact"/>
        <w:ind w:left="0" w:leftChars="0" w:firstLine="640" w:firstLineChars="200"/>
        <w:jc w:val="both"/>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三、收到和处理政府信息公开申请情况</w:t>
      </w:r>
    </w:p>
    <w:tbl>
      <w:tblPr>
        <w:tblStyle w:val="10"/>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Layout w:type="fixed"/>
        <w:tblCellMar>
          <w:top w:w="15" w:type="dxa"/>
          <w:left w:w="15" w:type="dxa"/>
          <w:bottom w:w="15" w:type="dxa"/>
          <w:right w:w="15" w:type="dxa"/>
        </w:tblCellMar>
      </w:tblPr>
      <w:tblGrid>
        <w:gridCol w:w="716"/>
        <w:gridCol w:w="880"/>
        <w:gridCol w:w="2643"/>
        <w:gridCol w:w="649"/>
        <w:gridCol w:w="703"/>
        <w:gridCol w:w="703"/>
        <w:gridCol w:w="900"/>
        <w:gridCol w:w="800"/>
        <w:gridCol w:w="465"/>
        <w:gridCol w:w="612"/>
      </w:tblGrid>
      <w:tr w14:paraId="02A463E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320" w:hRule="atLeast"/>
          <w:jc w:val="center"/>
        </w:trPr>
        <w:tc>
          <w:tcPr>
            <w:tcW w:w="4239" w:type="dxa"/>
            <w:gridSpan w:val="3"/>
            <w:vMerge w:val="restart"/>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B826A2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（本列数据的勾稽关系为：第一项加第二项之和，等于第三项加第四项之和）</w:t>
            </w:r>
          </w:p>
        </w:tc>
        <w:tc>
          <w:tcPr>
            <w:tcW w:w="4832" w:type="dxa"/>
            <w:gridSpan w:val="7"/>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41F530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申请人情况</w:t>
            </w:r>
          </w:p>
        </w:tc>
      </w:tr>
      <w:tr w14:paraId="632624F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239"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771BD1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649"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7D6D27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自然人</w:t>
            </w:r>
          </w:p>
        </w:tc>
        <w:tc>
          <w:tcPr>
            <w:tcW w:w="3571" w:type="dxa"/>
            <w:gridSpan w:val="5"/>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0A048D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法人或其他组织</w:t>
            </w:r>
          </w:p>
        </w:tc>
        <w:tc>
          <w:tcPr>
            <w:tcW w:w="612" w:type="dxa"/>
            <w:vMerge w:val="restart"/>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32CB70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总计</w:t>
            </w:r>
          </w:p>
        </w:tc>
      </w:tr>
      <w:tr w14:paraId="274A14A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4239" w:type="dxa"/>
            <w:gridSpan w:val="3"/>
            <w:vMerge w:val="continue"/>
            <w:tcBorders>
              <w:top w:val="single" w:color="auto" w:sz="8" w:space="0"/>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F2E50D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649"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9BF142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D0291E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商业企业</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12B86E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29D5F3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社会公益组织</w:t>
            </w:r>
          </w:p>
        </w:tc>
        <w:tc>
          <w:tcPr>
            <w:tcW w:w="800"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686F32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法律服务机构</w:t>
            </w:r>
          </w:p>
        </w:tc>
        <w:tc>
          <w:tcPr>
            <w:tcW w:w="465"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432041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其他</w:t>
            </w:r>
          </w:p>
        </w:tc>
        <w:tc>
          <w:tcPr>
            <w:tcW w:w="612" w:type="dxa"/>
            <w:vMerge w:val="continue"/>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5B95EA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r>
      <w:tr w14:paraId="3F4A075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239"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19B8A6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一、本年新收政府信息公开申请数量</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CC79AA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B02D23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3DB8D8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BDB389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2B594C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ED68F6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F3637A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3141BA1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4239"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8041CD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二、上年结转政府信息公开申请数量</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C2E97A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E4A7B7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1353F2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66B1D7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449335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A36F39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638595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55DD688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F4878F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三、本年度办理结果</w:t>
            </w:r>
          </w:p>
        </w:tc>
        <w:tc>
          <w:tcPr>
            <w:tcW w:w="3523"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9310FF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（一）予已公开</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7C617F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99A73B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C81A1C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E74DD5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602EAA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CFAE19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7F4D49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692E5AD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2D33BC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3523"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BC3CEA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（二）部分公开（区分处理的，只计这一情形，不计其他情形）</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ED40B3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B4E00A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FC7F3D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2BF215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690574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3FC205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FFE401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5CF8D9B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FB76DB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855430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（三）不予公开</w:t>
            </w: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39B2A6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1.属于国家秘密</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026CAF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D55D0B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4C3BCA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0FF401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04F858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7C9988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single" w:color="auto" w:sz="8" w:space="0"/>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FCC2F8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7FD97C1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2EC6C0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973F89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580611F">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rightChars="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2.其他法律行政法规禁止公开</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8332A2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307F70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7B995C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B3993D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6C8E02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9249D0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3E1E1B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318EA64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148A61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EE7B39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2792EC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3.危及“三安全一稳定”</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78FB85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BA093A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B9BB5A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CE20D6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7AF92F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312FED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9D8BAC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229FED9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9D0D6A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ACA49C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0A0478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4.保护第三方合法权益</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3B9930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B5C0A7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374ECB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DD8A63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A3F509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F9DA6F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5FE36C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6D22200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97FB06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87F902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117260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5.属于三类内部事务信息</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10465B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5A3446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EF2BE9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BE678E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F7FBD4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2F9D54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303130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4E9D408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27F659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6B1A71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BDA6AF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6.属于四类过程性信息</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2BA623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7A055D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0E1935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9D15B8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EE0F84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4ACEB7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A612B7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67A443A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F0FCA5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947E24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37C04C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7.属于行政执法案卷</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260D4A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3EC67D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BA9A76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C4F5B0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ABAA7E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4F5A8C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561FED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68E1DC7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C5C30D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73F54D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E7AA29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8.属于行政查询事项</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237472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B87764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A49A4A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E54140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7AEE10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C7791C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B01BD8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5CB25FB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F2FF36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3655A5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（四）无法提供</w:t>
            </w: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96D271C">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rightChars="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1.本机关不掌握相关政府信息</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FC95C3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A6A7E4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81D996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733660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BA20EC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1F008C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A89B81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039A219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E100E6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4EBBA5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17674C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2.没有现成信息需要另行制作</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61ACBB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B57287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585F93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FA3904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527AAD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2D47F8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237BDE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61EAEFB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CB158E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BF1C76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7D2929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3.补正后申请内容仍不明确</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DF2201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E13288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FE1622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AD0DC4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9CA3FC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F32AB1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ED72AF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74B4B1A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22FC84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E25333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（五）不予处理</w:t>
            </w: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E08EFA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1.信访举报投诉类申请</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5FDA1D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5BE496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488A7C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EC8FAC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7145BE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B1D2DD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BCCDC2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1AE381A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CD068D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DA1AFC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9BE235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2.重复申请</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D28EED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0C8CBB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914E78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03191B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91AD0F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F8B140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427039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0BB0A46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563607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24F431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40E704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3.要求提供公开出版物</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4C39B4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107BD1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DAE339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CEEFBA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59ADBD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D06B49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A6CC48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1A7FF29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FC0726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8CAF5C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B8A0FC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4.无正当理由大量反复申请</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D1FB89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DB2C3A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D290C4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7089C8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BF8D4E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19E14C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E7194D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0B106A4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D53C3C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6B54BA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5FC1DF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5.要求行政机关确认或重新出具已获取信息</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E0EFE2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0930D1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2367D2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04D9D6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EA8210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7ACE71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C6A351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2932F7E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6ACBFD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restart"/>
            <w:tcBorders>
              <w:top w:val="nil"/>
              <w:left w:val="nil"/>
              <w:right w:val="single" w:color="auto" w:sz="8" w:space="0"/>
            </w:tcBorders>
            <w:shd w:val="clear" w:color="auto" w:fill="FFFFFF" w:themeFill="background1"/>
            <w:noWrap w:val="0"/>
            <w:tcMar>
              <w:top w:w="0" w:type="dxa"/>
              <w:left w:w="108" w:type="dxa"/>
              <w:bottom w:w="0" w:type="dxa"/>
              <w:right w:w="108" w:type="dxa"/>
            </w:tcMar>
            <w:vAlign w:val="center"/>
          </w:tcPr>
          <w:p w14:paraId="43E90E1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（六）其他处理</w:t>
            </w: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BADDDA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1.申请人无正当理由逾期不补正、行政机关不再处理其政府信息公开申请</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E6FE56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797E51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A568BA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068367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CDD1CC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C0EB6F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A325DF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r>
      <w:tr w14:paraId="0A44289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DA2CD7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left w:val="nil"/>
              <w:right w:val="single" w:color="auto" w:sz="8" w:space="0"/>
            </w:tcBorders>
            <w:shd w:val="clear" w:color="auto" w:fill="FFFFFF" w:themeFill="background1"/>
            <w:noWrap w:val="0"/>
            <w:tcMar>
              <w:top w:w="0" w:type="dxa"/>
              <w:left w:w="108" w:type="dxa"/>
              <w:bottom w:w="0" w:type="dxa"/>
              <w:right w:w="108" w:type="dxa"/>
            </w:tcMar>
            <w:vAlign w:val="center"/>
          </w:tcPr>
          <w:p w14:paraId="7549495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A05411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2.申请人逾期未按收费通知要求缴纳费用、行政机关不再处理其政府信息公开申请</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20E884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0910FB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8EEBF7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6EC702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7D200F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C085F0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C80651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kern w:val="0"/>
                <w:sz w:val="18"/>
                <w:szCs w:val="18"/>
                <w:lang w:val="en-US" w:eastAsia="zh-CN" w:bidi="ar"/>
              </w:rPr>
            </w:pPr>
            <w:r>
              <w:rPr>
                <w:rFonts w:hint="eastAsia" w:ascii="宋体" w:hAnsi="宋体" w:eastAsia="宋体" w:cs="宋体"/>
                <w:color w:val="auto"/>
                <w:sz w:val="18"/>
                <w:szCs w:val="18"/>
                <w:lang w:val="en-US" w:eastAsia="zh-CN"/>
              </w:rPr>
              <w:t>0</w:t>
            </w:r>
          </w:p>
        </w:tc>
      </w:tr>
      <w:tr w14:paraId="1B101BB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FFCB3F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880" w:type="dxa"/>
            <w:vMerge w:val="continue"/>
            <w:tcBorders>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55D45B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p>
        </w:tc>
        <w:tc>
          <w:tcPr>
            <w:tcW w:w="264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830BED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3.其他</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7F6F2A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A8DDCA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9E7ABF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4B554AF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87006C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77574A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E58062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528722F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5D9ED6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3523" w:type="dxa"/>
            <w:gridSpan w:val="2"/>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E2543E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（七）总计</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39E38B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9A998E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81484C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CDC3B8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090AC5D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AA9F31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B0ACB3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r w14:paraId="4692381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0" w:hRule="atLeast"/>
          <w:jc w:val="center"/>
        </w:trPr>
        <w:tc>
          <w:tcPr>
            <w:tcW w:w="4239" w:type="dxa"/>
            <w:gridSpan w:val="3"/>
            <w:tcBorders>
              <w:top w:val="nil"/>
              <w:left w:val="single" w:color="auto" w:sz="8" w:space="0"/>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C8F07E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四、结转下年度继续办理</w:t>
            </w:r>
          </w:p>
        </w:tc>
        <w:tc>
          <w:tcPr>
            <w:tcW w:w="649"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5A44B38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35F7C82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703"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9B0551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9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27DC860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800"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6CFFACD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5"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1E82E26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12" w:type="dxa"/>
            <w:tcBorders>
              <w:top w:val="nil"/>
              <w:left w:val="nil"/>
              <w:bottom w:val="single" w:color="auto" w:sz="8" w:space="0"/>
              <w:right w:val="single" w:color="auto" w:sz="8" w:space="0"/>
            </w:tcBorders>
            <w:shd w:val="clear" w:color="auto" w:fill="FFFFFF" w:themeFill="background1"/>
            <w:noWrap w:val="0"/>
            <w:tcMar>
              <w:top w:w="0" w:type="dxa"/>
              <w:left w:w="108" w:type="dxa"/>
              <w:bottom w:w="0" w:type="dxa"/>
              <w:right w:w="108" w:type="dxa"/>
            </w:tcMar>
            <w:vAlign w:val="center"/>
          </w:tcPr>
          <w:p w14:paraId="78A77F0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bl>
    <w:p w14:paraId="22E63495">
      <w:pPr>
        <w:keepNext w:val="0"/>
        <w:keepLines w:val="0"/>
        <w:pageBreakBefore w:val="0"/>
        <w:numPr>
          <w:ilvl w:val="0"/>
          <w:numId w:val="0"/>
        </w:numPr>
        <w:kinsoku/>
        <w:wordWrap/>
        <w:overflowPunct/>
        <w:topLinePunct w:val="0"/>
        <w:autoSpaceDN/>
        <w:bidi w:val="0"/>
        <w:adjustRightInd/>
        <w:snapToGrid/>
        <w:spacing w:line="520" w:lineRule="exact"/>
        <w:ind w:left="0" w:leftChars="0" w:firstLine="640" w:firstLineChars="200"/>
        <w:jc w:val="both"/>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四、政府信息公开行政复议、行政诉讼情况</w:t>
      </w:r>
    </w:p>
    <w:tbl>
      <w:tblPr>
        <w:tblStyle w:val="10"/>
        <w:tblW w:w="819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459"/>
        <w:gridCol w:w="459"/>
        <w:gridCol w:w="421"/>
        <w:gridCol w:w="467"/>
        <w:gridCol w:w="469"/>
        <w:gridCol w:w="580"/>
        <w:gridCol w:w="510"/>
        <w:gridCol w:w="510"/>
        <w:gridCol w:w="510"/>
        <w:gridCol w:w="432"/>
        <w:gridCol w:w="605"/>
        <w:gridCol w:w="510"/>
        <w:gridCol w:w="510"/>
        <w:gridCol w:w="510"/>
        <w:gridCol w:w="1246"/>
      </w:tblGrid>
      <w:tr w14:paraId="7F054CC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337" w:hRule="atLeast"/>
          <w:jc w:val="center"/>
        </w:trPr>
        <w:tc>
          <w:tcPr>
            <w:tcW w:w="2275" w:type="dxa"/>
            <w:gridSpan w:val="5"/>
            <w:tcBorders>
              <w:top w:val="single" w:color="auto" w:sz="6" w:space="0"/>
              <w:left w:val="single" w:color="auto" w:sz="6" w:space="0"/>
              <w:bottom w:val="single" w:color="auto" w:sz="6" w:space="0"/>
              <w:right w:val="single" w:color="auto" w:sz="6" w:space="0"/>
            </w:tcBorders>
            <w:shd w:val="clear" w:color="auto" w:fill="auto"/>
            <w:noWrap/>
            <w:vAlign w:val="center"/>
          </w:tcPr>
          <w:p w14:paraId="4A02260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行政复议</w:t>
            </w:r>
          </w:p>
        </w:tc>
        <w:tc>
          <w:tcPr>
            <w:tcW w:w="5923" w:type="dxa"/>
            <w:gridSpan w:val="10"/>
            <w:tcBorders>
              <w:top w:val="single" w:color="auto" w:sz="6" w:space="0"/>
              <w:left w:val="nil"/>
              <w:bottom w:val="single" w:color="auto" w:sz="6" w:space="0"/>
              <w:right w:val="single" w:color="auto" w:sz="6" w:space="0"/>
            </w:tcBorders>
            <w:shd w:val="clear" w:color="auto" w:fill="auto"/>
            <w:noWrap/>
            <w:vAlign w:val="center"/>
          </w:tcPr>
          <w:p w14:paraId="5DA9471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行政诉讼</w:t>
            </w:r>
          </w:p>
        </w:tc>
      </w:tr>
      <w:tr w14:paraId="3DE9D41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337" w:hRule="atLeast"/>
          <w:jc w:val="center"/>
        </w:trPr>
        <w:tc>
          <w:tcPr>
            <w:tcW w:w="459" w:type="dxa"/>
            <w:vMerge w:val="restart"/>
            <w:tcBorders>
              <w:top w:val="nil"/>
              <w:left w:val="single" w:color="auto" w:sz="6" w:space="0"/>
              <w:bottom w:val="single" w:color="auto" w:sz="6" w:space="0"/>
              <w:right w:val="single" w:color="auto" w:sz="6" w:space="0"/>
            </w:tcBorders>
            <w:shd w:val="clear" w:color="auto" w:fill="auto"/>
            <w:noWrap/>
            <w:vAlign w:val="center"/>
          </w:tcPr>
          <w:p w14:paraId="2D92761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结果维持</w:t>
            </w:r>
          </w:p>
        </w:tc>
        <w:tc>
          <w:tcPr>
            <w:tcW w:w="459" w:type="dxa"/>
            <w:vMerge w:val="restart"/>
            <w:tcBorders>
              <w:top w:val="nil"/>
              <w:left w:val="nil"/>
              <w:bottom w:val="single" w:color="auto" w:sz="6" w:space="0"/>
              <w:right w:val="single" w:color="auto" w:sz="6" w:space="0"/>
            </w:tcBorders>
            <w:shd w:val="clear" w:color="auto" w:fill="auto"/>
            <w:noWrap/>
            <w:vAlign w:val="center"/>
          </w:tcPr>
          <w:p w14:paraId="291118D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结果纠正</w:t>
            </w:r>
          </w:p>
        </w:tc>
        <w:tc>
          <w:tcPr>
            <w:tcW w:w="421" w:type="dxa"/>
            <w:vMerge w:val="restart"/>
            <w:tcBorders>
              <w:top w:val="single" w:color="auto" w:sz="6" w:space="0"/>
              <w:left w:val="nil"/>
              <w:bottom w:val="single" w:color="auto" w:sz="6" w:space="0"/>
              <w:right w:val="single" w:color="auto" w:sz="6" w:space="0"/>
            </w:tcBorders>
            <w:shd w:val="clear" w:color="auto" w:fill="auto"/>
            <w:noWrap/>
            <w:vAlign w:val="center"/>
          </w:tcPr>
          <w:p w14:paraId="410CCA2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其他结果</w:t>
            </w:r>
          </w:p>
        </w:tc>
        <w:tc>
          <w:tcPr>
            <w:tcW w:w="467" w:type="dxa"/>
            <w:vMerge w:val="restart"/>
            <w:tcBorders>
              <w:top w:val="single" w:color="auto" w:sz="6" w:space="0"/>
              <w:left w:val="nil"/>
              <w:bottom w:val="single" w:color="auto" w:sz="6" w:space="0"/>
              <w:right w:val="single" w:color="auto" w:sz="6" w:space="0"/>
            </w:tcBorders>
            <w:shd w:val="clear" w:color="auto" w:fill="auto"/>
            <w:noWrap/>
            <w:vAlign w:val="center"/>
          </w:tcPr>
          <w:p w14:paraId="3C56F6F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尚未审结</w:t>
            </w:r>
          </w:p>
        </w:tc>
        <w:tc>
          <w:tcPr>
            <w:tcW w:w="469" w:type="dxa"/>
            <w:vMerge w:val="restart"/>
            <w:tcBorders>
              <w:top w:val="single" w:color="auto" w:sz="6" w:space="0"/>
              <w:left w:val="nil"/>
              <w:bottom w:val="single" w:color="auto" w:sz="6" w:space="0"/>
              <w:right w:val="single" w:color="auto" w:sz="6" w:space="0"/>
            </w:tcBorders>
            <w:shd w:val="clear" w:color="auto" w:fill="auto"/>
            <w:noWrap/>
            <w:vAlign w:val="center"/>
          </w:tcPr>
          <w:p w14:paraId="0DC73EC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总计</w:t>
            </w:r>
          </w:p>
        </w:tc>
        <w:tc>
          <w:tcPr>
            <w:tcW w:w="2542" w:type="dxa"/>
            <w:gridSpan w:val="5"/>
            <w:tcBorders>
              <w:top w:val="single" w:color="auto" w:sz="6" w:space="0"/>
              <w:left w:val="nil"/>
              <w:bottom w:val="single" w:color="auto" w:sz="6" w:space="0"/>
              <w:right w:val="single" w:color="auto" w:sz="6" w:space="0"/>
            </w:tcBorders>
            <w:shd w:val="clear" w:color="auto" w:fill="auto"/>
            <w:noWrap/>
            <w:vAlign w:val="center"/>
          </w:tcPr>
          <w:p w14:paraId="3B39F5A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未经复议直接起诉</w:t>
            </w:r>
          </w:p>
        </w:tc>
        <w:tc>
          <w:tcPr>
            <w:tcW w:w="3381" w:type="dxa"/>
            <w:gridSpan w:val="5"/>
            <w:tcBorders>
              <w:top w:val="single" w:color="auto" w:sz="6" w:space="0"/>
              <w:left w:val="nil"/>
              <w:bottom w:val="single" w:color="auto" w:sz="6" w:space="0"/>
              <w:right w:val="single" w:color="auto" w:sz="6" w:space="0"/>
            </w:tcBorders>
            <w:shd w:val="clear" w:color="auto" w:fill="auto"/>
            <w:noWrap/>
            <w:vAlign w:val="center"/>
          </w:tcPr>
          <w:p w14:paraId="605B2C3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复议后起诉</w:t>
            </w:r>
          </w:p>
        </w:tc>
      </w:tr>
      <w:tr w14:paraId="32E41B7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317" w:hRule="atLeast"/>
          <w:jc w:val="center"/>
        </w:trPr>
        <w:tc>
          <w:tcPr>
            <w:tcW w:w="459" w:type="dxa"/>
            <w:vMerge w:val="continue"/>
            <w:tcBorders>
              <w:top w:val="nil"/>
              <w:left w:val="single" w:color="auto" w:sz="6" w:space="0"/>
              <w:bottom w:val="single" w:color="auto" w:sz="6" w:space="0"/>
              <w:right w:val="single" w:color="auto" w:sz="6" w:space="0"/>
            </w:tcBorders>
            <w:shd w:val="clear" w:color="auto" w:fill="auto"/>
            <w:noWrap/>
            <w:vAlign w:val="center"/>
          </w:tcPr>
          <w:p w14:paraId="5892BC2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459" w:type="dxa"/>
            <w:vMerge w:val="continue"/>
            <w:tcBorders>
              <w:top w:val="nil"/>
              <w:left w:val="nil"/>
              <w:bottom w:val="single" w:color="auto" w:sz="6" w:space="0"/>
              <w:right w:val="single" w:color="auto" w:sz="6" w:space="0"/>
            </w:tcBorders>
            <w:shd w:val="clear" w:color="auto" w:fill="auto"/>
            <w:noWrap/>
            <w:vAlign w:val="center"/>
          </w:tcPr>
          <w:p w14:paraId="2DDCD67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421" w:type="dxa"/>
            <w:vMerge w:val="continue"/>
            <w:tcBorders>
              <w:top w:val="single" w:color="auto" w:sz="6" w:space="0"/>
              <w:left w:val="nil"/>
              <w:bottom w:val="single" w:color="auto" w:sz="6" w:space="0"/>
              <w:right w:val="single" w:color="auto" w:sz="6" w:space="0"/>
            </w:tcBorders>
            <w:shd w:val="clear" w:color="auto" w:fill="auto"/>
            <w:noWrap/>
            <w:vAlign w:val="center"/>
          </w:tcPr>
          <w:p w14:paraId="3E18AE2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467" w:type="dxa"/>
            <w:vMerge w:val="continue"/>
            <w:tcBorders>
              <w:top w:val="single" w:color="auto" w:sz="6" w:space="0"/>
              <w:left w:val="nil"/>
              <w:bottom w:val="single" w:color="auto" w:sz="6" w:space="0"/>
              <w:right w:val="single" w:color="auto" w:sz="6" w:space="0"/>
            </w:tcBorders>
            <w:shd w:val="clear" w:color="auto" w:fill="auto"/>
            <w:noWrap/>
            <w:vAlign w:val="center"/>
          </w:tcPr>
          <w:p w14:paraId="38555E5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469" w:type="dxa"/>
            <w:vMerge w:val="continue"/>
            <w:tcBorders>
              <w:top w:val="single" w:color="auto" w:sz="6" w:space="0"/>
              <w:left w:val="nil"/>
              <w:bottom w:val="single" w:color="auto" w:sz="6" w:space="0"/>
              <w:right w:val="single" w:color="auto" w:sz="6" w:space="0"/>
            </w:tcBorders>
            <w:shd w:val="clear" w:color="auto" w:fill="auto"/>
            <w:noWrap/>
            <w:vAlign w:val="center"/>
          </w:tcPr>
          <w:p w14:paraId="16CE41B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p>
        </w:tc>
        <w:tc>
          <w:tcPr>
            <w:tcW w:w="580" w:type="dxa"/>
            <w:tcBorders>
              <w:top w:val="nil"/>
              <w:left w:val="nil"/>
              <w:bottom w:val="single" w:color="auto" w:sz="6" w:space="0"/>
              <w:right w:val="single" w:color="auto" w:sz="6" w:space="0"/>
            </w:tcBorders>
            <w:shd w:val="clear" w:color="auto" w:fill="auto"/>
            <w:noWrap/>
            <w:vAlign w:val="center"/>
          </w:tcPr>
          <w:p w14:paraId="5DB3E60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结果</w:t>
            </w:r>
          </w:p>
          <w:p w14:paraId="4E21C49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维持</w:t>
            </w:r>
          </w:p>
        </w:tc>
        <w:tc>
          <w:tcPr>
            <w:tcW w:w="510" w:type="dxa"/>
            <w:tcBorders>
              <w:top w:val="nil"/>
              <w:left w:val="nil"/>
              <w:bottom w:val="single" w:color="auto" w:sz="6" w:space="0"/>
              <w:right w:val="single" w:color="auto" w:sz="6" w:space="0"/>
            </w:tcBorders>
            <w:shd w:val="clear" w:color="auto" w:fill="auto"/>
            <w:noWrap/>
            <w:vAlign w:val="center"/>
          </w:tcPr>
          <w:p w14:paraId="7BABAF3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结果</w:t>
            </w:r>
          </w:p>
          <w:p w14:paraId="08CB011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纠正</w:t>
            </w:r>
          </w:p>
        </w:tc>
        <w:tc>
          <w:tcPr>
            <w:tcW w:w="510" w:type="dxa"/>
            <w:tcBorders>
              <w:top w:val="single" w:color="auto" w:sz="6" w:space="0"/>
              <w:left w:val="nil"/>
              <w:bottom w:val="single" w:color="auto" w:sz="6" w:space="0"/>
              <w:right w:val="single" w:color="auto" w:sz="6" w:space="0"/>
            </w:tcBorders>
            <w:shd w:val="clear" w:color="auto" w:fill="auto"/>
            <w:noWrap/>
            <w:vAlign w:val="center"/>
          </w:tcPr>
          <w:p w14:paraId="060FF8F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其他</w:t>
            </w:r>
          </w:p>
          <w:p w14:paraId="2A8C096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结果</w:t>
            </w:r>
          </w:p>
        </w:tc>
        <w:tc>
          <w:tcPr>
            <w:tcW w:w="510" w:type="dxa"/>
            <w:tcBorders>
              <w:top w:val="single" w:color="auto" w:sz="6" w:space="0"/>
              <w:left w:val="nil"/>
              <w:bottom w:val="single" w:color="auto" w:sz="6" w:space="0"/>
              <w:right w:val="single" w:color="auto" w:sz="6" w:space="0"/>
            </w:tcBorders>
            <w:shd w:val="clear" w:color="auto" w:fill="auto"/>
            <w:noWrap/>
            <w:vAlign w:val="center"/>
          </w:tcPr>
          <w:p w14:paraId="3849F64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尚未</w:t>
            </w:r>
          </w:p>
          <w:p w14:paraId="3F8093C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审结</w:t>
            </w:r>
          </w:p>
        </w:tc>
        <w:tc>
          <w:tcPr>
            <w:tcW w:w="432" w:type="dxa"/>
            <w:tcBorders>
              <w:top w:val="single" w:color="auto" w:sz="6" w:space="0"/>
              <w:left w:val="nil"/>
              <w:bottom w:val="single" w:color="auto" w:sz="6" w:space="0"/>
              <w:right w:val="single" w:color="auto" w:sz="6" w:space="0"/>
            </w:tcBorders>
            <w:shd w:val="clear" w:color="auto" w:fill="auto"/>
            <w:noWrap/>
            <w:vAlign w:val="center"/>
          </w:tcPr>
          <w:p w14:paraId="3B34B0B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总计</w:t>
            </w:r>
          </w:p>
        </w:tc>
        <w:tc>
          <w:tcPr>
            <w:tcW w:w="605" w:type="dxa"/>
            <w:tcBorders>
              <w:top w:val="single" w:color="auto" w:sz="6" w:space="0"/>
              <w:left w:val="nil"/>
              <w:bottom w:val="single" w:color="auto" w:sz="6" w:space="0"/>
              <w:right w:val="single" w:color="auto" w:sz="6" w:space="0"/>
            </w:tcBorders>
            <w:shd w:val="clear" w:color="auto" w:fill="auto"/>
            <w:noWrap/>
            <w:vAlign w:val="center"/>
          </w:tcPr>
          <w:p w14:paraId="23B4DC8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结果</w:t>
            </w:r>
          </w:p>
          <w:p w14:paraId="7487238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维持</w:t>
            </w:r>
          </w:p>
        </w:tc>
        <w:tc>
          <w:tcPr>
            <w:tcW w:w="510" w:type="dxa"/>
            <w:tcBorders>
              <w:top w:val="single" w:color="auto" w:sz="6" w:space="0"/>
              <w:left w:val="nil"/>
              <w:bottom w:val="single" w:color="auto" w:sz="6" w:space="0"/>
              <w:right w:val="single" w:color="auto" w:sz="6" w:space="0"/>
            </w:tcBorders>
            <w:shd w:val="clear" w:color="auto" w:fill="auto"/>
            <w:noWrap/>
            <w:vAlign w:val="center"/>
          </w:tcPr>
          <w:p w14:paraId="24D659F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结果</w:t>
            </w:r>
          </w:p>
          <w:p w14:paraId="78294D7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纠正</w:t>
            </w:r>
          </w:p>
        </w:tc>
        <w:tc>
          <w:tcPr>
            <w:tcW w:w="510" w:type="dxa"/>
            <w:tcBorders>
              <w:top w:val="single" w:color="auto" w:sz="6" w:space="0"/>
              <w:left w:val="nil"/>
              <w:bottom w:val="single" w:color="auto" w:sz="6" w:space="0"/>
              <w:right w:val="single" w:color="auto" w:sz="6" w:space="0"/>
            </w:tcBorders>
            <w:shd w:val="clear" w:color="auto" w:fill="auto"/>
            <w:noWrap/>
            <w:vAlign w:val="center"/>
          </w:tcPr>
          <w:p w14:paraId="6D72FDF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其他</w:t>
            </w:r>
          </w:p>
          <w:p w14:paraId="2097BAE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结果</w:t>
            </w:r>
          </w:p>
        </w:tc>
        <w:tc>
          <w:tcPr>
            <w:tcW w:w="510" w:type="dxa"/>
            <w:tcBorders>
              <w:top w:val="single" w:color="auto" w:sz="6" w:space="0"/>
              <w:left w:val="nil"/>
              <w:bottom w:val="single" w:color="auto" w:sz="6" w:space="0"/>
              <w:right w:val="single" w:color="auto" w:sz="6" w:space="0"/>
            </w:tcBorders>
            <w:shd w:val="clear" w:color="auto" w:fill="auto"/>
            <w:noWrap/>
            <w:vAlign w:val="center"/>
          </w:tcPr>
          <w:p w14:paraId="097E342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尚未</w:t>
            </w:r>
          </w:p>
          <w:p w14:paraId="3EDBF77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right="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审结</w:t>
            </w:r>
          </w:p>
        </w:tc>
        <w:tc>
          <w:tcPr>
            <w:tcW w:w="1246" w:type="dxa"/>
            <w:tcBorders>
              <w:top w:val="single" w:color="auto" w:sz="6" w:space="0"/>
              <w:left w:val="nil"/>
              <w:bottom w:val="single" w:color="auto" w:sz="6" w:space="0"/>
              <w:right w:val="single" w:color="auto" w:sz="6" w:space="0"/>
            </w:tcBorders>
            <w:shd w:val="clear" w:color="auto" w:fill="auto"/>
            <w:noWrap/>
            <w:vAlign w:val="center"/>
          </w:tcPr>
          <w:p w14:paraId="609CB1E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eastAsia"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总计</w:t>
            </w:r>
          </w:p>
        </w:tc>
      </w:tr>
      <w:tr w14:paraId="6F16F02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346" w:hRule="atLeast"/>
          <w:jc w:val="center"/>
        </w:trPr>
        <w:tc>
          <w:tcPr>
            <w:tcW w:w="459" w:type="dxa"/>
            <w:tcBorders>
              <w:top w:val="nil"/>
              <w:left w:val="single" w:color="auto" w:sz="6" w:space="0"/>
              <w:bottom w:val="single" w:color="auto" w:sz="6" w:space="0"/>
              <w:right w:val="single" w:color="auto" w:sz="6" w:space="0"/>
            </w:tcBorders>
            <w:shd w:val="clear" w:color="auto" w:fill="auto"/>
            <w:noWrap/>
            <w:vAlign w:val="center"/>
          </w:tcPr>
          <w:p w14:paraId="46A9C60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59" w:type="dxa"/>
            <w:tcBorders>
              <w:top w:val="nil"/>
              <w:left w:val="nil"/>
              <w:bottom w:val="single" w:color="auto" w:sz="6" w:space="0"/>
              <w:right w:val="single" w:color="auto" w:sz="6" w:space="0"/>
            </w:tcBorders>
            <w:shd w:val="clear" w:color="auto" w:fill="auto"/>
            <w:noWrap/>
            <w:vAlign w:val="center"/>
          </w:tcPr>
          <w:p w14:paraId="0C02D06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21" w:type="dxa"/>
            <w:tcBorders>
              <w:top w:val="nil"/>
              <w:left w:val="nil"/>
              <w:bottom w:val="single" w:color="auto" w:sz="6" w:space="0"/>
              <w:right w:val="single" w:color="auto" w:sz="6" w:space="0"/>
            </w:tcBorders>
            <w:shd w:val="clear" w:color="auto" w:fill="auto"/>
            <w:noWrap/>
            <w:vAlign w:val="center"/>
          </w:tcPr>
          <w:p w14:paraId="2530F9A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7" w:type="dxa"/>
            <w:tcBorders>
              <w:top w:val="nil"/>
              <w:left w:val="nil"/>
              <w:bottom w:val="single" w:color="auto" w:sz="6" w:space="0"/>
              <w:right w:val="single" w:color="auto" w:sz="6" w:space="0"/>
            </w:tcBorders>
            <w:shd w:val="clear" w:color="auto" w:fill="auto"/>
            <w:noWrap/>
            <w:vAlign w:val="center"/>
          </w:tcPr>
          <w:p w14:paraId="1C099AE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69" w:type="dxa"/>
            <w:tcBorders>
              <w:top w:val="nil"/>
              <w:left w:val="nil"/>
              <w:bottom w:val="single" w:color="auto" w:sz="6" w:space="0"/>
              <w:right w:val="single" w:color="auto" w:sz="6" w:space="0"/>
            </w:tcBorders>
            <w:shd w:val="clear" w:color="auto" w:fill="auto"/>
            <w:noWrap/>
            <w:vAlign w:val="center"/>
          </w:tcPr>
          <w:p w14:paraId="367AD94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right="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580" w:type="dxa"/>
            <w:tcBorders>
              <w:top w:val="nil"/>
              <w:left w:val="nil"/>
              <w:bottom w:val="single" w:color="auto" w:sz="6" w:space="0"/>
              <w:right w:val="single" w:color="auto" w:sz="6" w:space="0"/>
            </w:tcBorders>
            <w:shd w:val="clear" w:color="auto" w:fill="auto"/>
            <w:noWrap/>
            <w:vAlign w:val="center"/>
          </w:tcPr>
          <w:p w14:paraId="4EE465A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510" w:type="dxa"/>
            <w:tcBorders>
              <w:top w:val="nil"/>
              <w:left w:val="nil"/>
              <w:bottom w:val="single" w:color="auto" w:sz="6" w:space="0"/>
              <w:right w:val="single" w:color="auto" w:sz="6" w:space="0"/>
            </w:tcBorders>
            <w:shd w:val="clear" w:color="auto" w:fill="auto"/>
            <w:noWrap/>
            <w:vAlign w:val="center"/>
          </w:tcPr>
          <w:p w14:paraId="7CF4640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510" w:type="dxa"/>
            <w:tcBorders>
              <w:top w:val="nil"/>
              <w:left w:val="nil"/>
              <w:bottom w:val="single" w:color="auto" w:sz="6" w:space="0"/>
              <w:right w:val="single" w:color="auto" w:sz="6" w:space="0"/>
            </w:tcBorders>
            <w:shd w:val="clear" w:color="auto" w:fill="auto"/>
            <w:noWrap/>
            <w:vAlign w:val="center"/>
          </w:tcPr>
          <w:p w14:paraId="3E20710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510" w:type="dxa"/>
            <w:tcBorders>
              <w:top w:val="nil"/>
              <w:left w:val="nil"/>
              <w:bottom w:val="single" w:color="auto" w:sz="6" w:space="0"/>
              <w:right w:val="single" w:color="auto" w:sz="6" w:space="0"/>
            </w:tcBorders>
            <w:shd w:val="clear" w:color="auto" w:fill="auto"/>
            <w:noWrap/>
            <w:vAlign w:val="center"/>
          </w:tcPr>
          <w:p w14:paraId="483B169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432" w:type="dxa"/>
            <w:tcBorders>
              <w:top w:val="nil"/>
              <w:left w:val="nil"/>
              <w:bottom w:val="single" w:color="auto" w:sz="6" w:space="0"/>
              <w:right w:val="single" w:color="auto" w:sz="6" w:space="0"/>
            </w:tcBorders>
            <w:shd w:val="clear" w:color="auto" w:fill="auto"/>
            <w:noWrap/>
            <w:vAlign w:val="center"/>
          </w:tcPr>
          <w:p w14:paraId="59B4C7C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605" w:type="dxa"/>
            <w:tcBorders>
              <w:top w:val="nil"/>
              <w:left w:val="nil"/>
              <w:bottom w:val="single" w:color="auto" w:sz="6" w:space="0"/>
              <w:right w:val="single" w:color="auto" w:sz="6" w:space="0"/>
            </w:tcBorders>
            <w:shd w:val="clear" w:color="auto" w:fill="auto"/>
            <w:noWrap/>
            <w:vAlign w:val="center"/>
          </w:tcPr>
          <w:p w14:paraId="58EDF30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510" w:type="dxa"/>
            <w:tcBorders>
              <w:top w:val="nil"/>
              <w:left w:val="nil"/>
              <w:bottom w:val="single" w:color="auto" w:sz="6" w:space="0"/>
              <w:right w:val="single" w:color="auto" w:sz="6" w:space="0"/>
            </w:tcBorders>
            <w:shd w:val="clear" w:color="auto" w:fill="auto"/>
            <w:noWrap/>
            <w:vAlign w:val="center"/>
          </w:tcPr>
          <w:p w14:paraId="4F0D2C1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510" w:type="dxa"/>
            <w:tcBorders>
              <w:top w:val="nil"/>
              <w:left w:val="nil"/>
              <w:bottom w:val="single" w:color="auto" w:sz="6" w:space="0"/>
              <w:right w:val="single" w:color="auto" w:sz="6" w:space="0"/>
            </w:tcBorders>
            <w:shd w:val="clear" w:color="auto" w:fill="auto"/>
            <w:noWrap/>
            <w:vAlign w:val="center"/>
          </w:tcPr>
          <w:p w14:paraId="5A8E7C4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510" w:type="dxa"/>
            <w:tcBorders>
              <w:top w:val="nil"/>
              <w:left w:val="nil"/>
              <w:bottom w:val="single" w:color="auto" w:sz="6" w:space="0"/>
              <w:right w:val="single" w:color="auto" w:sz="6" w:space="0"/>
            </w:tcBorders>
            <w:shd w:val="clear" w:color="auto" w:fill="auto"/>
            <w:noWrap/>
            <w:vAlign w:val="center"/>
          </w:tcPr>
          <w:p w14:paraId="1C3C476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c>
          <w:tcPr>
            <w:tcW w:w="1246" w:type="dxa"/>
            <w:tcBorders>
              <w:top w:val="nil"/>
              <w:left w:val="nil"/>
              <w:bottom w:val="single" w:color="auto" w:sz="6" w:space="0"/>
              <w:right w:val="single" w:color="auto" w:sz="6" w:space="0"/>
            </w:tcBorders>
            <w:shd w:val="clear" w:color="auto" w:fill="auto"/>
            <w:noWrap/>
            <w:vAlign w:val="center"/>
          </w:tcPr>
          <w:p w14:paraId="59B6DFA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N/>
              <w:bidi w:val="0"/>
              <w:adjustRightInd/>
              <w:snapToGrid/>
              <w:spacing w:before="0" w:beforeAutospacing="0" w:after="0" w:afterAutospacing="0" w:line="520" w:lineRule="exact"/>
              <w:ind w:left="0" w:leftChars="0" w:right="0" w:rightChars="0" w:firstLine="360" w:firstLineChars="200"/>
              <w:jc w:val="both"/>
              <w:textAlignment w:val="auto"/>
              <w:rPr>
                <w:rFonts w:hint="default" w:ascii="宋体" w:hAnsi="宋体" w:eastAsia="宋体" w:cs="宋体"/>
                <w:color w:val="auto"/>
                <w:sz w:val="18"/>
                <w:szCs w:val="18"/>
                <w:lang w:val="en-US" w:eastAsia="zh-CN"/>
              </w:rPr>
            </w:pPr>
            <w:r>
              <w:rPr>
                <w:rFonts w:hint="eastAsia" w:ascii="宋体" w:hAnsi="宋体" w:eastAsia="宋体" w:cs="宋体"/>
                <w:color w:val="auto"/>
                <w:sz w:val="18"/>
                <w:szCs w:val="18"/>
                <w:lang w:val="en-US" w:eastAsia="zh-CN"/>
              </w:rPr>
              <w:t>0</w:t>
            </w:r>
          </w:p>
        </w:tc>
      </w:tr>
    </w:tbl>
    <w:p w14:paraId="4632BC65">
      <w:pPr>
        <w:keepNext w:val="0"/>
        <w:keepLines w:val="0"/>
        <w:pageBreakBefore w:val="0"/>
        <w:widowControl w:val="0"/>
        <w:numPr>
          <w:ilvl w:val="0"/>
          <w:numId w:val="2"/>
        </w:numPr>
        <w:kinsoku/>
        <w:wordWrap/>
        <w:overflowPunct/>
        <w:topLinePunct w:val="0"/>
        <w:autoSpaceDE/>
        <w:autoSpaceDN/>
        <w:bidi w:val="0"/>
        <w:adjustRightInd/>
        <w:snapToGrid/>
        <w:spacing w:line="520" w:lineRule="exact"/>
        <w:ind w:left="0" w:leftChars="0" w:firstLine="640" w:firstLineChars="200"/>
        <w:jc w:val="both"/>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存在的问题及改进情况</w:t>
      </w:r>
    </w:p>
    <w:p w14:paraId="4026C640">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700" w:firstLineChars="200"/>
        <w:jc w:val="both"/>
        <w:textAlignment w:val="auto"/>
        <w:rPr>
          <w:rFonts w:hint="eastAsia" w:ascii="仿宋_GB2312" w:hAnsi="仿宋_GB2312" w:eastAsia="仿宋_GB2312" w:cs="仿宋_GB2312"/>
          <w:i w:val="0"/>
          <w:caps w:val="0"/>
          <w:color w:val="auto"/>
          <w:spacing w:val="15"/>
          <w:kern w:val="0"/>
          <w:sz w:val="32"/>
          <w:szCs w:val="32"/>
          <w:shd w:val="clear" w:color="auto" w:fill="FFFFFF"/>
          <w:lang w:val="en-US" w:eastAsia="zh-CN" w:bidi="ar"/>
        </w:rPr>
      </w:pPr>
      <w:r>
        <w:rPr>
          <w:rFonts w:hint="eastAsia" w:ascii="仿宋_GB2312" w:hAnsi="仿宋_GB2312" w:eastAsia="仿宋_GB2312" w:cs="仿宋_GB2312"/>
          <w:i w:val="0"/>
          <w:caps w:val="0"/>
          <w:color w:val="auto"/>
          <w:spacing w:val="15"/>
          <w:kern w:val="0"/>
          <w:sz w:val="32"/>
          <w:szCs w:val="32"/>
          <w:shd w:val="clear" w:color="auto" w:fill="FFFFFF"/>
          <w:lang w:val="en-US" w:eastAsia="zh-CN" w:bidi="ar"/>
        </w:rPr>
        <w:t>主要问题：一是政策解读形式的多样性、生动性仍有提升空间，二是信息公开的深度有待进一步拓展。</w:t>
      </w:r>
    </w:p>
    <w:p w14:paraId="10F346AD">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700" w:firstLineChars="200"/>
        <w:jc w:val="both"/>
        <w:textAlignment w:val="auto"/>
        <w:rPr>
          <w:rFonts w:hint="eastAsia" w:ascii="仿宋_GB2312" w:hAnsi="仿宋_GB2312" w:eastAsia="仿宋_GB2312" w:cs="仿宋_GB2312"/>
          <w:i w:val="0"/>
          <w:caps w:val="0"/>
          <w:color w:val="auto"/>
          <w:spacing w:val="15"/>
          <w:kern w:val="0"/>
          <w:sz w:val="32"/>
          <w:szCs w:val="32"/>
          <w:shd w:val="clear" w:color="auto" w:fill="FFFFFF"/>
          <w:lang w:val="en-US" w:eastAsia="zh-CN" w:bidi="ar"/>
        </w:rPr>
      </w:pPr>
      <w:r>
        <w:rPr>
          <w:rFonts w:hint="eastAsia" w:ascii="仿宋_GB2312" w:hAnsi="仿宋_GB2312" w:eastAsia="仿宋_GB2312" w:cs="仿宋_GB2312"/>
          <w:i w:val="0"/>
          <w:caps w:val="0"/>
          <w:color w:val="auto"/>
          <w:spacing w:val="15"/>
          <w:kern w:val="0"/>
          <w:sz w:val="32"/>
          <w:szCs w:val="32"/>
          <w:shd w:val="clear" w:color="auto" w:fill="FFFFFF"/>
          <w:lang w:val="en-US" w:eastAsia="zh-CN" w:bidi="ar"/>
        </w:rPr>
        <w:t>改进情况：一是探索更易传播和理解的解读途径。二是细化重点领域公开目录，推动项目执行过程、成效等信息更全面公开。</w:t>
      </w:r>
    </w:p>
    <w:p w14:paraId="113CF8FE">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640" w:firstLineChars="200"/>
        <w:jc w:val="both"/>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六、其他需要报告的事项</w:t>
      </w:r>
    </w:p>
    <w:p w14:paraId="618206FF">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700" w:firstLineChars="200"/>
        <w:jc w:val="both"/>
        <w:textAlignment w:val="auto"/>
        <w:rPr>
          <w:rFonts w:hint="eastAsia" w:ascii="仿宋_GB2312" w:hAnsi="仿宋_GB2312" w:eastAsia="仿宋_GB2312" w:cs="仿宋_GB2312"/>
          <w:i w:val="0"/>
          <w:caps w:val="0"/>
          <w:color w:val="auto"/>
          <w:spacing w:val="15"/>
          <w:kern w:val="0"/>
          <w:sz w:val="32"/>
          <w:szCs w:val="32"/>
          <w:shd w:val="clear" w:color="auto" w:fill="FFFFFF"/>
          <w:lang w:val="en-US" w:eastAsia="zh-CN" w:bidi="ar"/>
        </w:rPr>
      </w:pPr>
      <w:r>
        <w:rPr>
          <w:rFonts w:hint="eastAsia" w:ascii="仿宋_GB2312" w:hAnsi="仿宋_GB2312" w:eastAsia="仿宋_GB2312" w:cs="仿宋_GB2312"/>
          <w:i w:val="0"/>
          <w:caps w:val="0"/>
          <w:color w:val="auto"/>
          <w:spacing w:val="15"/>
          <w:kern w:val="0"/>
          <w:sz w:val="32"/>
          <w:szCs w:val="32"/>
          <w:shd w:val="clear" w:color="auto" w:fill="FFFFFF"/>
          <w:lang w:val="en-US" w:eastAsia="zh-CN" w:bidi="ar"/>
        </w:rPr>
        <w:t>2025年度，区文旅局未收取政府信息公开信息处理费。</w:t>
      </w:r>
    </w:p>
    <w:p w14:paraId="3C8AB5A9">
      <w:pPr>
        <w:pStyle w:val="2"/>
        <w:rPr>
          <w:rFonts w:hint="eastAsia" w:ascii="仿宋_GB2312" w:hAnsi="仿宋_GB2312" w:eastAsia="仿宋_GB2312" w:cs="仿宋_GB2312"/>
          <w:i w:val="0"/>
          <w:caps w:val="0"/>
          <w:color w:val="auto"/>
          <w:spacing w:val="15"/>
          <w:kern w:val="0"/>
          <w:sz w:val="32"/>
          <w:szCs w:val="32"/>
          <w:shd w:val="clear" w:color="auto" w:fill="FFFFFF"/>
          <w:lang w:val="en-US" w:eastAsia="zh-CN" w:bidi="ar"/>
        </w:rPr>
      </w:pPr>
    </w:p>
    <w:p w14:paraId="09A65AFC">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3500" w:firstLineChars="1000"/>
        <w:jc w:val="both"/>
        <w:textAlignment w:val="auto"/>
        <w:rPr>
          <w:rFonts w:hint="eastAsia" w:ascii="仿宋_GB2312" w:hAnsi="仿宋_GB2312" w:eastAsia="仿宋_GB2312" w:cs="仿宋_GB2312"/>
          <w:i w:val="0"/>
          <w:caps w:val="0"/>
          <w:color w:val="auto"/>
          <w:spacing w:val="15"/>
          <w:kern w:val="0"/>
          <w:sz w:val="32"/>
          <w:szCs w:val="32"/>
          <w:shd w:val="clear" w:color="auto" w:fill="FFFFFF"/>
          <w:lang w:val="en-US" w:eastAsia="zh-CN" w:bidi="ar"/>
        </w:rPr>
      </w:pPr>
      <w:r>
        <w:rPr>
          <w:rFonts w:hint="eastAsia" w:ascii="仿宋_GB2312" w:hAnsi="仿宋_GB2312" w:eastAsia="仿宋_GB2312" w:cs="仿宋_GB2312"/>
          <w:i w:val="0"/>
          <w:caps w:val="0"/>
          <w:color w:val="auto"/>
          <w:spacing w:val="15"/>
          <w:kern w:val="0"/>
          <w:sz w:val="32"/>
          <w:szCs w:val="32"/>
          <w:shd w:val="clear" w:color="auto" w:fill="FFFFFF"/>
          <w:lang w:val="en-US" w:eastAsia="zh-CN" w:bidi="ar"/>
        </w:rPr>
        <w:t>长安区文化广电体育和旅游局</w:t>
      </w:r>
    </w:p>
    <w:p w14:paraId="6E2FAE0B">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4550" w:firstLineChars="1300"/>
        <w:jc w:val="both"/>
        <w:textAlignment w:val="auto"/>
        <w:rPr>
          <w:rFonts w:hint="default" w:ascii="仿宋_GB2312" w:hAnsi="仿宋_GB2312" w:eastAsia="仿宋_GB2312" w:cs="仿宋_GB2312"/>
          <w:i w:val="0"/>
          <w:caps w:val="0"/>
          <w:color w:val="auto"/>
          <w:spacing w:val="15"/>
          <w:kern w:val="0"/>
          <w:sz w:val="32"/>
          <w:szCs w:val="32"/>
          <w:shd w:val="clear" w:color="auto" w:fill="FFFFFF"/>
          <w:lang w:val="en-US" w:eastAsia="zh-CN" w:bidi="ar"/>
        </w:rPr>
      </w:pPr>
      <w:r>
        <w:rPr>
          <w:rFonts w:hint="eastAsia" w:ascii="仿宋_GB2312" w:hAnsi="仿宋_GB2312" w:eastAsia="仿宋_GB2312" w:cs="仿宋_GB2312"/>
          <w:i w:val="0"/>
          <w:caps w:val="0"/>
          <w:color w:val="auto"/>
          <w:spacing w:val="15"/>
          <w:kern w:val="0"/>
          <w:sz w:val="32"/>
          <w:szCs w:val="32"/>
          <w:shd w:val="clear" w:color="auto" w:fill="FFFFFF"/>
          <w:lang w:val="en-US" w:eastAsia="zh-CN" w:bidi="ar"/>
        </w:rPr>
        <w:t>2026年1月16日</w:t>
      </w:r>
    </w:p>
    <w:sectPr>
      <w:footerReference r:id="rId3" w:type="default"/>
      <w:pgSz w:w="11906" w:h="16838"/>
      <w:pgMar w:top="1701" w:right="1474" w:bottom="1701"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FF8F2">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A63C67">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6A63C67">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53672B"/>
    <w:multiLevelType w:val="singleLevel"/>
    <w:tmpl w:val="1A53672B"/>
    <w:lvl w:ilvl="0" w:tentative="0">
      <w:start w:val="5"/>
      <w:numFmt w:val="chineseCounting"/>
      <w:suff w:val="nothing"/>
      <w:lvlText w:val="%1、"/>
      <w:lvlJc w:val="left"/>
      <w:pPr>
        <w:ind w:left="640" w:leftChars="0" w:firstLine="0" w:firstLineChars="0"/>
      </w:pPr>
      <w:rPr>
        <w:rFonts w:hint="eastAsia"/>
      </w:rPr>
    </w:lvl>
  </w:abstractNum>
  <w:abstractNum w:abstractNumId="1">
    <w:nsid w:val="2E3D2F5F"/>
    <w:multiLevelType w:val="singleLevel"/>
    <w:tmpl w:val="2E3D2F5F"/>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wOGQxNjEyOGQ5Zjk3MThlODFjNjZiN2JmN2FjZTAifQ=="/>
  </w:docVars>
  <w:rsids>
    <w:rsidRoot w:val="43423816"/>
    <w:rsid w:val="00042B15"/>
    <w:rsid w:val="006059FA"/>
    <w:rsid w:val="00775C71"/>
    <w:rsid w:val="00BB1FE3"/>
    <w:rsid w:val="00E64433"/>
    <w:rsid w:val="010167D9"/>
    <w:rsid w:val="011B1D65"/>
    <w:rsid w:val="014917AF"/>
    <w:rsid w:val="01632780"/>
    <w:rsid w:val="017B4F19"/>
    <w:rsid w:val="018557B5"/>
    <w:rsid w:val="018B599A"/>
    <w:rsid w:val="018C7395"/>
    <w:rsid w:val="01C03827"/>
    <w:rsid w:val="022D6A13"/>
    <w:rsid w:val="02414C13"/>
    <w:rsid w:val="028043EE"/>
    <w:rsid w:val="02A77EC6"/>
    <w:rsid w:val="02B658F2"/>
    <w:rsid w:val="02DC07D0"/>
    <w:rsid w:val="02FA7AC0"/>
    <w:rsid w:val="030D2458"/>
    <w:rsid w:val="031A2269"/>
    <w:rsid w:val="03703351"/>
    <w:rsid w:val="037A5854"/>
    <w:rsid w:val="03ED4501"/>
    <w:rsid w:val="04221138"/>
    <w:rsid w:val="042F4FFF"/>
    <w:rsid w:val="04415E9A"/>
    <w:rsid w:val="04517A96"/>
    <w:rsid w:val="046C263D"/>
    <w:rsid w:val="04765443"/>
    <w:rsid w:val="048F0910"/>
    <w:rsid w:val="04AB12EA"/>
    <w:rsid w:val="04DD53E8"/>
    <w:rsid w:val="05904B46"/>
    <w:rsid w:val="05AF528D"/>
    <w:rsid w:val="05CE001B"/>
    <w:rsid w:val="05DA7275"/>
    <w:rsid w:val="06406859"/>
    <w:rsid w:val="06645C4C"/>
    <w:rsid w:val="06686734"/>
    <w:rsid w:val="066F43D4"/>
    <w:rsid w:val="06B20F73"/>
    <w:rsid w:val="076631C5"/>
    <w:rsid w:val="07B042C9"/>
    <w:rsid w:val="08072329"/>
    <w:rsid w:val="0836172E"/>
    <w:rsid w:val="085251E3"/>
    <w:rsid w:val="08707959"/>
    <w:rsid w:val="08A5378A"/>
    <w:rsid w:val="08D14FA0"/>
    <w:rsid w:val="08D50159"/>
    <w:rsid w:val="090848A2"/>
    <w:rsid w:val="091D763F"/>
    <w:rsid w:val="096041E4"/>
    <w:rsid w:val="098E041C"/>
    <w:rsid w:val="099B16DA"/>
    <w:rsid w:val="09BF43B9"/>
    <w:rsid w:val="09E12139"/>
    <w:rsid w:val="09EC26CD"/>
    <w:rsid w:val="0A004DA1"/>
    <w:rsid w:val="0A26741E"/>
    <w:rsid w:val="0A2E6F93"/>
    <w:rsid w:val="0A327396"/>
    <w:rsid w:val="0A66084E"/>
    <w:rsid w:val="0A766873"/>
    <w:rsid w:val="0AA7652F"/>
    <w:rsid w:val="0AC44124"/>
    <w:rsid w:val="0B0562D9"/>
    <w:rsid w:val="0B106555"/>
    <w:rsid w:val="0B2A62EA"/>
    <w:rsid w:val="0BD4498D"/>
    <w:rsid w:val="0C061BA7"/>
    <w:rsid w:val="0C0B2134"/>
    <w:rsid w:val="0C12211B"/>
    <w:rsid w:val="0D0738F6"/>
    <w:rsid w:val="0D20151D"/>
    <w:rsid w:val="0D5A6985"/>
    <w:rsid w:val="0E1400CF"/>
    <w:rsid w:val="0E2B48D0"/>
    <w:rsid w:val="0E397136"/>
    <w:rsid w:val="0E6377E4"/>
    <w:rsid w:val="0E6C5F26"/>
    <w:rsid w:val="0EA26CBF"/>
    <w:rsid w:val="0EA939D8"/>
    <w:rsid w:val="0EAB19E0"/>
    <w:rsid w:val="0EAC232C"/>
    <w:rsid w:val="0F015D26"/>
    <w:rsid w:val="0F0A3495"/>
    <w:rsid w:val="0F4A44E8"/>
    <w:rsid w:val="0FF13F1E"/>
    <w:rsid w:val="0FF836C2"/>
    <w:rsid w:val="10554402"/>
    <w:rsid w:val="108F6F31"/>
    <w:rsid w:val="10BD5FD6"/>
    <w:rsid w:val="110C5A88"/>
    <w:rsid w:val="11266894"/>
    <w:rsid w:val="11496571"/>
    <w:rsid w:val="11813498"/>
    <w:rsid w:val="11836D68"/>
    <w:rsid w:val="119C4B97"/>
    <w:rsid w:val="11E3316C"/>
    <w:rsid w:val="12213F5E"/>
    <w:rsid w:val="122A6F5E"/>
    <w:rsid w:val="123F5795"/>
    <w:rsid w:val="125671B2"/>
    <w:rsid w:val="12604D88"/>
    <w:rsid w:val="12741A64"/>
    <w:rsid w:val="12C90AB4"/>
    <w:rsid w:val="130F3D81"/>
    <w:rsid w:val="135E5991"/>
    <w:rsid w:val="140C38E3"/>
    <w:rsid w:val="141359E2"/>
    <w:rsid w:val="142F46E5"/>
    <w:rsid w:val="147A50BE"/>
    <w:rsid w:val="148E6679"/>
    <w:rsid w:val="14B1564F"/>
    <w:rsid w:val="1557038B"/>
    <w:rsid w:val="156057BC"/>
    <w:rsid w:val="1599539A"/>
    <w:rsid w:val="15AB3F4D"/>
    <w:rsid w:val="16A24DED"/>
    <w:rsid w:val="16D20FB9"/>
    <w:rsid w:val="17322C4F"/>
    <w:rsid w:val="174E6D02"/>
    <w:rsid w:val="176F2457"/>
    <w:rsid w:val="179E11DB"/>
    <w:rsid w:val="17A94DC5"/>
    <w:rsid w:val="17BF6728"/>
    <w:rsid w:val="182F2398"/>
    <w:rsid w:val="186E05D7"/>
    <w:rsid w:val="18C60A7D"/>
    <w:rsid w:val="18CA2B34"/>
    <w:rsid w:val="18E97121"/>
    <w:rsid w:val="194312CF"/>
    <w:rsid w:val="194F0117"/>
    <w:rsid w:val="197C2EC1"/>
    <w:rsid w:val="197F1F58"/>
    <w:rsid w:val="19836AB1"/>
    <w:rsid w:val="19CD1A90"/>
    <w:rsid w:val="19EB3A0B"/>
    <w:rsid w:val="1A17043B"/>
    <w:rsid w:val="1A3003B3"/>
    <w:rsid w:val="1A3519B5"/>
    <w:rsid w:val="1A4E585E"/>
    <w:rsid w:val="1A877167"/>
    <w:rsid w:val="1ACE614D"/>
    <w:rsid w:val="1AFD7D6F"/>
    <w:rsid w:val="1B263BC1"/>
    <w:rsid w:val="1B2D0B76"/>
    <w:rsid w:val="1BA148B2"/>
    <w:rsid w:val="1BAE4443"/>
    <w:rsid w:val="1BB12B20"/>
    <w:rsid w:val="1BE75F16"/>
    <w:rsid w:val="1C3A739E"/>
    <w:rsid w:val="1CAC237E"/>
    <w:rsid w:val="1CE94533"/>
    <w:rsid w:val="1D04029F"/>
    <w:rsid w:val="1D1356AB"/>
    <w:rsid w:val="1D941FF0"/>
    <w:rsid w:val="1D9D580D"/>
    <w:rsid w:val="1DC06C13"/>
    <w:rsid w:val="1DD50408"/>
    <w:rsid w:val="1E137D89"/>
    <w:rsid w:val="1E2D62A3"/>
    <w:rsid w:val="1E7F621D"/>
    <w:rsid w:val="1E967ECB"/>
    <w:rsid w:val="1EC3154A"/>
    <w:rsid w:val="1EF80536"/>
    <w:rsid w:val="1F317DD6"/>
    <w:rsid w:val="1F786034"/>
    <w:rsid w:val="1FCF057E"/>
    <w:rsid w:val="1FDA0ED5"/>
    <w:rsid w:val="20271B80"/>
    <w:rsid w:val="205E31BE"/>
    <w:rsid w:val="20923824"/>
    <w:rsid w:val="21014464"/>
    <w:rsid w:val="211C6250"/>
    <w:rsid w:val="21FD459A"/>
    <w:rsid w:val="2209454B"/>
    <w:rsid w:val="226E1C1E"/>
    <w:rsid w:val="2273706F"/>
    <w:rsid w:val="229228D8"/>
    <w:rsid w:val="22DE5F80"/>
    <w:rsid w:val="23EA49D3"/>
    <w:rsid w:val="241A757F"/>
    <w:rsid w:val="24594884"/>
    <w:rsid w:val="24A82197"/>
    <w:rsid w:val="24D45465"/>
    <w:rsid w:val="24F96D2E"/>
    <w:rsid w:val="251A7750"/>
    <w:rsid w:val="251D7688"/>
    <w:rsid w:val="25242820"/>
    <w:rsid w:val="252834B3"/>
    <w:rsid w:val="255D3253"/>
    <w:rsid w:val="256E2358"/>
    <w:rsid w:val="2576659B"/>
    <w:rsid w:val="258C7BED"/>
    <w:rsid w:val="25B61460"/>
    <w:rsid w:val="25BE5F8E"/>
    <w:rsid w:val="25F052F1"/>
    <w:rsid w:val="263B70C4"/>
    <w:rsid w:val="26415588"/>
    <w:rsid w:val="26537F58"/>
    <w:rsid w:val="26777002"/>
    <w:rsid w:val="26D457A1"/>
    <w:rsid w:val="27155BA8"/>
    <w:rsid w:val="2733679B"/>
    <w:rsid w:val="27545D93"/>
    <w:rsid w:val="27872DD2"/>
    <w:rsid w:val="27C737AE"/>
    <w:rsid w:val="28092EF1"/>
    <w:rsid w:val="28351ECB"/>
    <w:rsid w:val="28731671"/>
    <w:rsid w:val="287C58BF"/>
    <w:rsid w:val="28CA1842"/>
    <w:rsid w:val="28EE6F0C"/>
    <w:rsid w:val="292662BA"/>
    <w:rsid w:val="2973348D"/>
    <w:rsid w:val="29866223"/>
    <w:rsid w:val="29A642E0"/>
    <w:rsid w:val="2A042790"/>
    <w:rsid w:val="2A13330C"/>
    <w:rsid w:val="2A156326"/>
    <w:rsid w:val="2A94402E"/>
    <w:rsid w:val="2B227685"/>
    <w:rsid w:val="2B7316C2"/>
    <w:rsid w:val="2C3D40E2"/>
    <w:rsid w:val="2C522FEF"/>
    <w:rsid w:val="2C7341E3"/>
    <w:rsid w:val="2C9F1576"/>
    <w:rsid w:val="2CC4276F"/>
    <w:rsid w:val="2CD556B4"/>
    <w:rsid w:val="2CE0555B"/>
    <w:rsid w:val="2D8E2A67"/>
    <w:rsid w:val="2D9A1C91"/>
    <w:rsid w:val="2DEB2626"/>
    <w:rsid w:val="2E125507"/>
    <w:rsid w:val="2E387FAB"/>
    <w:rsid w:val="2E6D0B4E"/>
    <w:rsid w:val="2E7C1EE7"/>
    <w:rsid w:val="2E903AC8"/>
    <w:rsid w:val="2ED108A2"/>
    <w:rsid w:val="2EEF0B45"/>
    <w:rsid w:val="2F035604"/>
    <w:rsid w:val="2F124848"/>
    <w:rsid w:val="2F287FDF"/>
    <w:rsid w:val="2FA542AC"/>
    <w:rsid w:val="2FC560BF"/>
    <w:rsid w:val="2FF96EEC"/>
    <w:rsid w:val="3025742F"/>
    <w:rsid w:val="305E0568"/>
    <w:rsid w:val="306F6602"/>
    <w:rsid w:val="307605BC"/>
    <w:rsid w:val="30B51552"/>
    <w:rsid w:val="31270399"/>
    <w:rsid w:val="317068EA"/>
    <w:rsid w:val="32094169"/>
    <w:rsid w:val="321006E3"/>
    <w:rsid w:val="32462507"/>
    <w:rsid w:val="325A4093"/>
    <w:rsid w:val="325C694D"/>
    <w:rsid w:val="327C163A"/>
    <w:rsid w:val="329B7DCC"/>
    <w:rsid w:val="32D8440B"/>
    <w:rsid w:val="33095A0F"/>
    <w:rsid w:val="331F0D77"/>
    <w:rsid w:val="33523E72"/>
    <w:rsid w:val="33D125A4"/>
    <w:rsid w:val="33E606F7"/>
    <w:rsid w:val="340A7D83"/>
    <w:rsid w:val="345702DB"/>
    <w:rsid w:val="34CF54C0"/>
    <w:rsid w:val="34D7568E"/>
    <w:rsid w:val="34FE53CC"/>
    <w:rsid w:val="34FF6B99"/>
    <w:rsid w:val="350538A0"/>
    <w:rsid w:val="350804FC"/>
    <w:rsid w:val="354B7549"/>
    <w:rsid w:val="35556982"/>
    <w:rsid w:val="35825396"/>
    <w:rsid w:val="35AC574D"/>
    <w:rsid w:val="35B962F3"/>
    <w:rsid w:val="361821DF"/>
    <w:rsid w:val="36A82A79"/>
    <w:rsid w:val="36AB6560"/>
    <w:rsid w:val="36D05D16"/>
    <w:rsid w:val="36DF08FF"/>
    <w:rsid w:val="36E43587"/>
    <w:rsid w:val="372E5168"/>
    <w:rsid w:val="373A4E61"/>
    <w:rsid w:val="378E7076"/>
    <w:rsid w:val="37CE3679"/>
    <w:rsid w:val="37D751FE"/>
    <w:rsid w:val="37F92D80"/>
    <w:rsid w:val="38312DE8"/>
    <w:rsid w:val="38420144"/>
    <w:rsid w:val="385B08CC"/>
    <w:rsid w:val="38994544"/>
    <w:rsid w:val="389D0DC3"/>
    <w:rsid w:val="38D103D4"/>
    <w:rsid w:val="38EC1637"/>
    <w:rsid w:val="391F5AC9"/>
    <w:rsid w:val="393D1C37"/>
    <w:rsid w:val="394B1232"/>
    <w:rsid w:val="395B6852"/>
    <w:rsid w:val="39764158"/>
    <w:rsid w:val="39791E4B"/>
    <w:rsid w:val="39B32B93"/>
    <w:rsid w:val="39EE3C33"/>
    <w:rsid w:val="39EF0BF8"/>
    <w:rsid w:val="3A19116E"/>
    <w:rsid w:val="3A261B55"/>
    <w:rsid w:val="3A26518A"/>
    <w:rsid w:val="3A275B73"/>
    <w:rsid w:val="3A8D3E5C"/>
    <w:rsid w:val="3A975266"/>
    <w:rsid w:val="3A9D671E"/>
    <w:rsid w:val="3AA26319"/>
    <w:rsid w:val="3AC53FD5"/>
    <w:rsid w:val="3AD925D7"/>
    <w:rsid w:val="3ADF0DD9"/>
    <w:rsid w:val="3B087B2B"/>
    <w:rsid w:val="3B4E6938"/>
    <w:rsid w:val="3B6608DE"/>
    <w:rsid w:val="3B8806E0"/>
    <w:rsid w:val="3BA04FF9"/>
    <w:rsid w:val="3BB040CF"/>
    <w:rsid w:val="3BB1506B"/>
    <w:rsid w:val="3C3712C5"/>
    <w:rsid w:val="3C7D0F68"/>
    <w:rsid w:val="3CBB1A69"/>
    <w:rsid w:val="3CBE592E"/>
    <w:rsid w:val="3CBF4AEA"/>
    <w:rsid w:val="3CF857FF"/>
    <w:rsid w:val="3D55637F"/>
    <w:rsid w:val="3D77037F"/>
    <w:rsid w:val="3D930F22"/>
    <w:rsid w:val="3D9E6D70"/>
    <w:rsid w:val="3DA80CD3"/>
    <w:rsid w:val="3DAE6DA2"/>
    <w:rsid w:val="3DDF1E33"/>
    <w:rsid w:val="3E153453"/>
    <w:rsid w:val="3E1F41CB"/>
    <w:rsid w:val="3EB20144"/>
    <w:rsid w:val="3EBD0004"/>
    <w:rsid w:val="3F0A2594"/>
    <w:rsid w:val="3F374DAF"/>
    <w:rsid w:val="3F3B4F94"/>
    <w:rsid w:val="3F4449E5"/>
    <w:rsid w:val="3F5A218D"/>
    <w:rsid w:val="3F6C3B05"/>
    <w:rsid w:val="3F6F131C"/>
    <w:rsid w:val="3F75444D"/>
    <w:rsid w:val="3F9927AF"/>
    <w:rsid w:val="3FA71940"/>
    <w:rsid w:val="3FAD1FC2"/>
    <w:rsid w:val="3FB6311F"/>
    <w:rsid w:val="3FE470A5"/>
    <w:rsid w:val="400B2AAC"/>
    <w:rsid w:val="401F71D1"/>
    <w:rsid w:val="40255CC9"/>
    <w:rsid w:val="40646B7C"/>
    <w:rsid w:val="40BC4B3F"/>
    <w:rsid w:val="40CD195A"/>
    <w:rsid w:val="40F538E5"/>
    <w:rsid w:val="4102118F"/>
    <w:rsid w:val="410A2327"/>
    <w:rsid w:val="411E2209"/>
    <w:rsid w:val="417A463F"/>
    <w:rsid w:val="418903FC"/>
    <w:rsid w:val="419E44E1"/>
    <w:rsid w:val="41BD2DE3"/>
    <w:rsid w:val="41C618AE"/>
    <w:rsid w:val="41C73550"/>
    <w:rsid w:val="42175097"/>
    <w:rsid w:val="423122BF"/>
    <w:rsid w:val="427960B7"/>
    <w:rsid w:val="42A1783C"/>
    <w:rsid w:val="42C60C21"/>
    <w:rsid w:val="42F805DB"/>
    <w:rsid w:val="431C63A8"/>
    <w:rsid w:val="431D7AB3"/>
    <w:rsid w:val="43423816"/>
    <w:rsid w:val="434814E3"/>
    <w:rsid w:val="434A6CA7"/>
    <w:rsid w:val="434C5B13"/>
    <w:rsid w:val="43846E17"/>
    <w:rsid w:val="43F00780"/>
    <w:rsid w:val="441A0ED7"/>
    <w:rsid w:val="442F1BB8"/>
    <w:rsid w:val="44327D00"/>
    <w:rsid w:val="44CA777F"/>
    <w:rsid w:val="4503028A"/>
    <w:rsid w:val="45051029"/>
    <w:rsid w:val="451D3E8D"/>
    <w:rsid w:val="454545D5"/>
    <w:rsid w:val="45BF67B9"/>
    <w:rsid w:val="45CB7BAA"/>
    <w:rsid w:val="45EC186D"/>
    <w:rsid w:val="46270C6B"/>
    <w:rsid w:val="469B08D3"/>
    <w:rsid w:val="46CF695A"/>
    <w:rsid w:val="471B270D"/>
    <w:rsid w:val="47374AAA"/>
    <w:rsid w:val="47800C28"/>
    <w:rsid w:val="478D7AB6"/>
    <w:rsid w:val="47D743FF"/>
    <w:rsid w:val="47E62246"/>
    <w:rsid w:val="48491874"/>
    <w:rsid w:val="484C5FE6"/>
    <w:rsid w:val="486B5D1B"/>
    <w:rsid w:val="48CA7F25"/>
    <w:rsid w:val="48CF5FF4"/>
    <w:rsid w:val="48F227EA"/>
    <w:rsid w:val="48F830D1"/>
    <w:rsid w:val="48FA081F"/>
    <w:rsid w:val="49310877"/>
    <w:rsid w:val="49792023"/>
    <w:rsid w:val="498274B6"/>
    <w:rsid w:val="4A475772"/>
    <w:rsid w:val="4A591130"/>
    <w:rsid w:val="4A745D91"/>
    <w:rsid w:val="4A902060"/>
    <w:rsid w:val="4AD65521"/>
    <w:rsid w:val="4B1D48BF"/>
    <w:rsid w:val="4B942BC9"/>
    <w:rsid w:val="4B9A43C3"/>
    <w:rsid w:val="4BA61AA7"/>
    <w:rsid w:val="4BF674DC"/>
    <w:rsid w:val="4C3A1712"/>
    <w:rsid w:val="4C3C6376"/>
    <w:rsid w:val="4C717A3E"/>
    <w:rsid w:val="4CFF26A8"/>
    <w:rsid w:val="4D182908"/>
    <w:rsid w:val="4DE808E3"/>
    <w:rsid w:val="4E490DE0"/>
    <w:rsid w:val="4E586F19"/>
    <w:rsid w:val="4E5E67F1"/>
    <w:rsid w:val="4E7972D8"/>
    <w:rsid w:val="4E986C00"/>
    <w:rsid w:val="4EA27E8D"/>
    <w:rsid w:val="4F067986"/>
    <w:rsid w:val="4F306124"/>
    <w:rsid w:val="4F373534"/>
    <w:rsid w:val="4F4E25E4"/>
    <w:rsid w:val="4F5077FE"/>
    <w:rsid w:val="4F9B478C"/>
    <w:rsid w:val="4FD25BC8"/>
    <w:rsid w:val="5006357C"/>
    <w:rsid w:val="500B46EE"/>
    <w:rsid w:val="512A05E7"/>
    <w:rsid w:val="51654227"/>
    <w:rsid w:val="519F23DE"/>
    <w:rsid w:val="51A158C3"/>
    <w:rsid w:val="51A83E58"/>
    <w:rsid w:val="52042448"/>
    <w:rsid w:val="52397AFA"/>
    <w:rsid w:val="52980D47"/>
    <w:rsid w:val="52A92C72"/>
    <w:rsid w:val="52B2616E"/>
    <w:rsid w:val="52BC1160"/>
    <w:rsid w:val="52E82148"/>
    <w:rsid w:val="52EA241C"/>
    <w:rsid w:val="52FB7DC6"/>
    <w:rsid w:val="532E70A0"/>
    <w:rsid w:val="536C785D"/>
    <w:rsid w:val="53AC0722"/>
    <w:rsid w:val="53B60A1B"/>
    <w:rsid w:val="53D37009"/>
    <w:rsid w:val="53D3701C"/>
    <w:rsid w:val="54045143"/>
    <w:rsid w:val="54336310"/>
    <w:rsid w:val="54814062"/>
    <w:rsid w:val="54B34F85"/>
    <w:rsid w:val="5552433D"/>
    <w:rsid w:val="557241B1"/>
    <w:rsid w:val="55D945A7"/>
    <w:rsid w:val="567116D3"/>
    <w:rsid w:val="567D59A4"/>
    <w:rsid w:val="568D2BD3"/>
    <w:rsid w:val="569B3C93"/>
    <w:rsid w:val="56CF44F4"/>
    <w:rsid w:val="56D96D80"/>
    <w:rsid w:val="56FA02DC"/>
    <w:rsid w:val="574B480B"/>
    <w:rsid w:val="575A67DF"/>
    <w:rsid w:val="576238C9"/>
    <w:rsid w:val="57802C79"/>
    <w:rsid w:val="57BC3EA8"/>
    <w:rsid w:val="57D9044A"/>
    <w:rsid w:val="58031224"/>
    <w:rsid w:val="584B3CA1"/>
    <w:rsid w:val="58501822"/>
    <w:rsid w:val="58A025AE"/>
    <w:rsid w:val="592218E5"/>
    <w:rsid w:val="594E0F69"/>
    <w:rsid w:val="59513691"/>
    <w:rsid w:val="59631CDA"/>
    <w:rsid w:val="59783E08"/>
    <w:rsid w:val="59A1632F"/>
    <w:rsid w:val="59A66B50"/>
    <w:rsid w:val="59ED2E71"/>
    <w:rsid w:val="5A1163E4"/>
    <w:rsid w:val="5A411534"/>
    <w:rsid w:val="5A94275C"/>
    <w:rsid w:val="5AD27024"/>
    <w:rsid w:val="5B1A583C"/>
    <w:rsid w:val="5B2457E8"/>
    <w:rsid w:val="5B314B9F"/>
    <w:rsid w:val="5B6E3FA7"/>
    <w:rsid w:val="5BA51952"/>
    <w:rsid w:val="5BC14D51"/>
    <w:rsid w:val="5C0B60C1"/>
    <w:rsid w:val="5C307BB6"/>
    <w:rsid w:val="5C4066C6"/>
    <w:rsid w:val="5C56480A"/>
    <w:rsid w:val="5C8D0B38"/>
    <w:rsid w:val="5C90353E"/>
    <w:rsid w:val="5C951BEF"/>
    <w:rsid w:val="5C9A4C77"/>
    <w:rsid w:val="5C9D3AD0"/>
    <w:rsid w:val="5CBF052F"/>
    <w:rsid w:val="5CDE248F"/>
    <w:rsid w:val="5CFD66D9"/>
    <w:rsid w:val="5D0D02F8"/>
    <w:rsid w:val="5D115851"/>
    <w:rsid w:val="5D156528"/>
    <w:rsid w:val="5D343923"/>
    <w:rsid w:val="5D641828"/>
    <w:rsid w:val="5DE548E2"/>
    <w:rsid w:val="5DE72682"/>
    <w:rsid w:val="5DED6D60"/>
    <w:rsid w:val="5E010C61"/>
    <w:rsid w:val="5E34037F"/>
    <w:rsid w:val="5E463C13"/>
    <w:rsid w:val="5E90005D"/>
    <w:rsid w:val="5EC65DEA"/>
    <w:rsid w:val="5F147C27"/>
    <w:rsid w:val="5F2B2557"/>
    <w:rsid w:val="5F5045FD"/>
    <w:rsid w:val="5F516BA7"/>
    <w:rsid w:val="5F540FE2"/>
    <w:rsid w:val="5F796201"/>
    <w:rsid w:val="5F8019D4"/>
    <w:rsid w:val="5F846899"/>
    <w:rsid w:val="5F9E74EF"/>
    <w:rsid w:val="5FAB1800"/>
    <w:rsid w:val="5FAC21D2"/>
    <w:rsid w:val="600774E8"/>
    <w:rsid w:val="605A009B"/>
    <w:rsid w:val="60612FC0"/>
    <w:rsid w:val="607E2EF6"/>
    <w:rsid w:val="609644C5"/>
    <w:rsid w:val="60C25221"/>
    <w:rsid w:val="60D2369A"/>
    <w:rsid w:val="60D40D05"/>
    <w:rsid w:val="60D42FEC"/>
    <w:rsid w:val="610D0924"/>
    <w:rsid w:val="61394832"/>
    <w:rsid w:val="613D6169"/>
    <w:rsid w:val="61421462"/>
    <w:rsid w:val="61730730"/>
    <w:rsid w:val="61AD0AF3"/>
    <w:rsid w:val="623C4A9B"/>
    <w:rsid w:val="624A239A"/>
    <w:rsid w:val="62546BF4"/>
    <w:rsid w:val="628853AC"/>
    <w:rsid w:val="62A422D8"/>
    <w:rsid w:val="631A79D9"/>
    <w:rsid w:val="631C58FA"/>
    <w:rsid w:val="63BF5C7E"/>
    <w:rsid w:val="64173E8E"/>
    <w:rsid w:val="64655680"/>
    <w:rsid w:val="647F0DD8"/>
    <w:rsid w:val="651D2CFC"/>
    <w:rsid w:val="6528499D"/>
    <w:rsid w:val="65980D90"/>
    <w:rsid w:val="65D90973"/>
    <w:rsid w:val="65EA1C84"/>
    <w:rsid w:val="66013C46"/>
    <w:rsid w:val="66330931"/>
    <w:rsid w:val="664F00B2"/>
    <w:rsid w:val="666D622C"/>
    <w:rsid w:val="668B0BE1"/>
    <w:rsid w:val="669B67BB"/>
    <w:rsid w:val="66F60ABC"/>
    <w:rsid w:val="66F70D86"/>
    <w:rsid w:val="67212944"/>
    <w:rsid w:val="673B13E9"/>
    <w:rsid w:val="6765505A"/>
    <w:rsid w:val="67655CC9"/>
    <w:rsid w:val="677703F6"/>
    <w:rsid w:val="67886BD0"/>
    <w:rsid w:val="67996BCD"/>
    <w:rsid w:val="67AE1F28"/>
    <w:rsid w:val="67E730AD"/>
    <w:rsid w:val="67FB633C"/>
    <w:rsid w:val="683C34C6"/>
    <w:rsid w:val="68461C44"/>
    <w:rsid w:val="686F4B89"/>
    <w:rsid w:val="68E3677E"/>
    <w:rsid w:val="68FF5CE9"/>
    <w:rsid w:val="69021B53"/>
    <w:rsid w:val="69322F23"/>
    <w:rsid w:val="6935348C"/>
    <w:rsid w:val="69367121"/>
    <w:rsid w:val="69624A28"/>
    <w:rsid w:val="697A4985"/>
    <w:rsid w:val="6A154120"/>
    <w:rsid w:val="6A190486"/>
    <w:rsid w:val="6A607C86"/>
    <w:rsid w:val="6A846B74"/>
    <w:rsid w:val="6A9D49FE"/>
    <w:rsid w:val="6AC50FD6"/>
    <w:rsid w:val="6ACB4331"/>
    <w:rsid w:val="6ADD754B"/>
    <w:rsid w:val="6B385D53"/>
    <w:rsid w:val="6B9C0871"/>
    <w:rsid w:val="6BE433A9"/>
    <w:rsid w:val="6BF97101"/>
    <w:rsid w:val="6C252F45"/>
    <w:rsid w:val="6C4623CE"/>
    <w:rsid w:val="6C947F59"/>
    <w:rsid w:val="6CAF04E2"/>
    <w:rsid w:val="6CE374C6"/>
    <w:rsid w:val="6CEB50B2"/>
    <w:rsid w:val="6CF13469"/>
    <w:rsid w:val="6D134BD3"/>
    <w:rsid w:val="6D1A15C8"/>
    <w:rsid w:val="6D2D18EB"/>
    <w:rsid w:val="6D466028"/>
    <w:rsid w:val="6D6633C7"/>
    <w:rsid w:val="6D6A4D52"/>
    <w:rsid w:val="6D7E2DE3"/>
    <w:rsid w:val="6D862054"/>
    <w:rsid w:val="6DBF7D41"/>
    <w:rsid w:val="6DC32F0A"/>
    <w:rsid w:val="6E942EF6"/>
    <w:rsid w:val="6E950916"/>
    <w:rsid w:val="6EEE77DF"/>
    <w:rsid w:val="6EFE7CE5"/>
    <w:rsid w:val="6F410782"/>
    <w:rsid w:val="6F4A6FDE"/>
    <w:rsid w:val="6F564395"/>
    <w:rsid w:val="6F6D1C9A"/>
    <w:rsid w:val="6F7F2CFB"/>
    <w:rsid w:val="6FC004E3"/>
    <w:rsid w:val="6FE96946"/>
    <w:rsid w:val="704E58C4"/>
    <w:rsid w:val="708657FC"/>
    <w:rsid w:val="70981624"/>
    <w:rsid w:val="70EA6902"/>
    <w:rsid w:val="71103536"/>
    <w:rsid w:val="714B4B74"/>
    <w:rsid w:val="71630203"/>
    <w:rsid w:val="7188106E"/>
    <w:rsid w:val="723102EA"/>
    <w:rsid w:val="72607018"/>
    <w:rsid w:val="7263080F"/>
    <w:rsid w:val="7269400D"/>
    <w:rsid w:val="72B95BB8"/>
    <w:rsid w:val="72CA39C3"/>
    <w:rsid w:val="72CF08CC"/>
    <w:rsid w:val="7323192B"/>
    <w:rsid w:val="73FD1101"/>
    <w:rsid w:val="7401056B"/>
    <w:rsid w:val="746E565C"/>
    <w:rsid w:val="748E48B7"/>
    <w:rsid w:val="74B00E2B"/>
    <w:rsid w:val="74E56DA7"/>
    <w:rsid w:val="750F2B00"/>
    <w:rsid w:val="75172438"/>
    <w:rsid w:val="7538748E"/>
    <w:rsid w:val="754375F7"/>
    <w:rsid w:val="75955BEF"/>
    <w:rsid w:val="760C2E6A"/>
    <w:rsid w:val="76172759"/>
    <w:rsid w:val="76E544DD"/>
    <w:rsid w:val="77245C10"/>
    <w:rsid w:val="772E33B4"/>
    <w:rsid w:val="77407041"/>
    <w:rsid w:val="777B3F6D"/>
    <w:rsid w:val="778207EF"/>
    <w:rsid w:val="77AE3351"/>
    <w:rsid w:val="77F5444A"/>
    <w:rsid w:val="7839328E"/>
    <w:rsid w:val="783B6634"/>
    <w:rsid w:val="7858222B"/>
    <w:rsid w:val="785F75ED"/>
    <w:rsid w:val="79015D1B"/>
    <w:rsid w:val="791671E6"/>
    <w:rsid w:val="79505BCD"/>
    <w:rsid w:val="799864AE"/>
    <w:rsid w:val="7A172A60"/>
    <w:rsid w:val="7A24192E"/>
    <w:rsid w:val="7A434A88"/>
    <w:rsid w:val="7A4D3433"/>
    <w:rsid w:val="7A97717C"/>
    <w:rsid w:val="7AB8467F"/>
    <w:rsid w:val="7B24746C"/>
    <w:rsid w:val="7B553044"/>
    <w:rsid w:val="7B684634"/>
    <w:rsid w:val="7B9516AF"/>
    <w:rsid w:val="7B9C4048"/>
    <w:rsid w:val="7BD51ABF"/>
    <w:rsid w:val="7C19028A"/>
    <w:rsid w:val="7C4E52FA"/>
    <w:rsid w:val="7CBB33EA"/>
    <w:rsid w:val="7CFA5565"/>
    <w:rsid w:val="7D074E49"/>
    <w:rsid w:val="7D154E21"/>
    <w:rsid w:val="7D2B59B6"/>
    <w:rsid w:val="7D900BB3"/>
    <w:rsid w:val="7DA45AC7"/>
    <w:rsid w:val="7DCA5C11"/>
    <w:rsid w:val="7DEF6CF1"/>
    <w:rsid w:val="7E447AD4"/>
    <w:rsid w:val="7E6839D7"/>
    <w:rsid w:val="7EB967D5"/>
    <w:rsid w:val="7EF34AB3"/>
    <w:rsid w:val="7F2426EF"/>
    <w:rsid w:val="7F416CB5"/>
    <w:rsid w:val="7F46179C"/>
    <w:rsid w:val="7F836298"/>
    <w:rsid w:val="7F861542"/>
    <w:rsid w:val="7F9B2254"/>
    <w:rsid w:val="7FA80AE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after="120"/>
      <w:ind w:left="420" w:leftChars="200"/>
    </w:pPr>
  </w:style>
  <w:style w:type="paragraph" w:styleId="5">
    <w:name w:val="Normal Indent"/>
    <w:basedOn w:val="1"/>
    <w:qFormat/>
    <w:uiPriority w:val="0"/>
    <w:pPr>
      <w:ind w:firstLine="420" w:firstLine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paragraph" w:styleId="9">
    <w:name w:val="Title"/>
    <w:basedOn w:val="1"/>
    <w:next w:val="1"/>
    <w:qFormat/>
    <w:uiPriority w:val="0"/>
    <w:pPr>
      <w:spacing w:before="240" w:after="60"/>
      <w:jc w:val="center"/>
    </w:pPr>
    <w:rPr>
      <w:rFonts w:ascii="等线 Light" w:hAnsi="等线 Light" w:eastAsia="等线 Light" w:cs="Times New Roman"/>
      <w:b/>
      <w:bCs/>
      <w:sz w:val="32"/>
      <w:szCs w:val="32"/>
    </w:rPr>
  </w:style>
  <w:style w:type="character" w:styleId="12">
    <w:name w:val="Hyperlink"/>
    <w:basedOn w:val="11"/>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1621</Words>
  <Characters>1668</Characters>
  <Lines>0</Lines>
  <Paragraphs>0</Paragraphs>
  <TotalTime>12</TotalTime>
  <ScaleCrop>false</ScaleCrop>
  <LinksUpToDate>false</LinksUpToDate>
  <CharactersWithSpaces>1669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2023-01-03T07:26:00Z</dcterms:created>
  <dc:creator>牛渊</dc:creator>
  <cp:lastModifiedBy>叶子</cp:lastModifiedBy>
  <cp:lastPrinted>2023-01-12T02:40:00Z</cp:lastPrinted>
  <dcterms:modified xsi:type="dcterms:W3CDTF">2026-01-16T02:43:45Z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B85672FA955D4B23978274566AD1B6B8_13</vt:lpwstr>
  </property>
  <property fmtid="{D5CDD505-2E9C-101B-9397-08002B2CF9AE}" pid="4" name="KSOTemplateDocerSaveRecord">
    <vt:lpwstr>eyJoZGlkIjoiMzljNDliMzI1OWJlZjBkYzEzZjlhZmYwOTVhYWJlN2YiLCJ1c2VySWQiOiI1MDU2MjIxNzEifQ==</vt:lpwstr>
  </property>
</Properties>
</file>