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568长安区桃园镇人民政府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2644.61</w:t>
            </w:r>
          </w:p>
        </w:tc>
        <w:tc>
          <w:tcPr>
            <w:tcW w:w="4535" w:type="dxa"/>
            <w:vAlign w:val="center"/>
          </w:tcPr>
          <w:p>
            <w:pPr>
              <w:pStyle w:val="13"/>
            </w:pPr>
            <w:r>
              <w:t>一、一般公共服务支出</w:t>
            </w:r>
          </w:p>
        </w:tc>
        <w:tc>
          <w:tcPr>
            <w:tcW w:w="2126" w:type="dxa"/>
            <w:vAlign w:val="center"/>
          </w:tcPr>
          <w:p>
            <w:pPr>
              <w:pStyle w:val="12"/>
            </w:pPr>
            <w:r>
              <w:t>2121.79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399.70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92.15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2644.61</w:t>
            </w:r>
          </w:p>
        </w:tc>
        <w:tc>
          <w:tcPr>
            <w:tcW w:w="4535" w:type="dxa"/>
            <w:vAlign w:val="center"/>
          </w:tcPr>
          <w:p>
            <w:pPr>
              <w:pStyle w:val="15"/>
            </w:pPr>
            <w:r>
              <w:t>本年支出合计</w:t>
            </w:r>
          </w:p>
        </w:tc>
        <w:tc>
          <w:tcPr>
            <w:tcW w:w="2126" w:type="dxa"/>
            <w:vAlign w:val="center"/>
          </w:tcPr>
          <w:p>
            <w:pPr>
              <w:pStyle w:val="16"/>
            </w:pPr>
            <w:r>
              <w:t>2742.14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97.52</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2742.14</w:t>
            </w:r>
          </w:p>
        </w:tc>
        <w:tc>
          <w:tcPr>
            <w:tcW w:w="4535" w:type="dxa"/>
            <w:vAlign w:val="center"/>
          </w:tcPr>
          <w:p>
            <w:pPr>
              <w:pStyle w:val="15"/>
            </w:pPr>
            <w:r>
              <w:t>支出总计</w:t>
            </w:r>
          </w:p>
        </w:tc>
        <w:tc>
          <w:tcPr>
            <w:tcW w:w="2126" w:type="dxa"/>
            <w:vAlign w:val="center"/>
          </w:tcPr>
          <w:p>
            <w:pPr>
              <w:pStyle w:val="16"/>
            </w:pPr>
            <w:r>
              <w:t>2742.14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568长安区桃园镇人民政府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2742.14</w:t>
            </w:r>
          </w:p>
        </w:tc>
        <w:tc>
          <w:tcPr>
            <w:tcW w:w="1134" w:type="dxa"/>
            <w:vAlign w:val="center"/>
          </w:tcPr>
          <w:p>
            <w:pPr>
              <w:pStyle w:val="16"/>
            </w:pPr>
            <w:r>
              <w:t>2644.61</w:t>
            </w:r>
          </w:p>
        </w:tc>
        <w:tc>
          <w:tcPr>
            <w:tcW w:w="1134" w:type="dxa"/>
            <w:vAlign w:val="center"/>
          </w:tcPr>
          <w:p>
            <w:pPr>
              <w:pStyle w:val="16"/>
            </w:pPr>
            <w:r>
              <w:t>2644.61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97.52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2121.79</w:t>
            </w:r>
          </w:p>
        </w:tc>
        <w:tc>
          <w:tcPr>
            <w:tcW w:w="1134" w:type="dxa"/>
            <w:vAlign w:val="center"/>
          </w:tcPr>
          <w:p>
            <w:pPr>
              <w:pStyle w:val="12"/>
            </w:pPr>
            <w:r>
              <w:t>2121.79</w:t>
            </w:r>
          </w:p>
        </w:tc>
        <w:tc>
          <w:tcPr>
            <w:tcW w:w="1134" w:type="dxa"/>
            <w:vAlign w:val="center"/>
          </w:tcPr>
          <w:p>
            <w:pPr>
              <w:pStyle w:val="12"/>
            </w:pPr>
            <w:r>
              <w:t>2121.79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291.88</w:t>
            </w:r>
          </w:p>
        </w:tc>
        <w:tc>
          <w:tcPr>
            <w:tcW w:w="1134" w:type="dxa"/>
            <w:vAlign w:val="center"/>
          </w:tcPr>
          <w:p>
            <w:pPr>
              <w:pStyle w:val="12"/>
            </w:pPr>
            <w:r>
              <w:t>291.88</w:t>
            </w:r>
          </w:p>
        </w:tc>
        <w:tc>
          <w:tcPr>
            <w:tcW w:w="1134" w:type="dxa"/>
            <w:vAlign w:val="center"/>
          </w:tcPr>
          <w:p>
            <w:pPr>
              <w:pStyle w:val="12"/>
            </w:pPr>
            <w:r>
              <w:t>291.88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2010102</w:t>
            </w:r>
          </w:p>
        </w:tc>
        <w:tc>
          <w:tcPr>
            <w:tcW w:w="1559" w:type="dxa"/>
            <w:vAlign w:val="center"/>
          </w:tcPr>
          <w:p>
            <w:pPr>
              <w:pStyle w:val="13"/>
            </w:pPr>
            <w:r>
              <w:t>一般行政管理事务</w:t>
            </w:r>
          </w:p>
        </w:tc>
        <w:tc>
          <w:tcPr>
            <w:tcW w:w="1134" w:type="dxa"/>
            <w:vAlign w:val="center"/>
          </w:tcPr>
          <w:p>
            <w:pPr>
              <w:pStyle w:val="12"/>
            </w:pPr>
            <w:r>
              <w:t>291.88</w:t>
            </w:r>
          </w:p>
        </w:tc>
        <w:tc>
          <w:tcPr>
            <w:tcW w:w="1134" w:type="dxa"/>
            <w:vAlign w:val="center"/>
          </w:tcPr>
          <w:p>
            <w:pPr>
              <w:pStyle w:val="12"/>
            </w:pPr>
            <w:r>
              <w:t>291.88</w:t>
            </w:r>
          </w:p>
        </w:tc>
        <w:tc>
          <w:tcPr>
            <w:tcW w:w="1134" w:type="dxa"/>
            <w:vAlign w:val="center"/>
          </w:tcPr>
          <w:p>
            <w:pPr>
              <w:pStyle w:val="12"/>
            </w:pPr>
            <w:r>
              <w:t>291.88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1335.37</w:t>
            </w:r>
          </w:p>
        </w:tc>
        <w:tc>
          <w:tcPr>
            <w:tcW w:w="1134" w:type="dxa"/>
            <w:vAlign w:val="center"/>
          </w:tcPr>
          <w:p>
            <w:pPr>
              <w:pStyle w:val="12"/>
            </w:pPr>
            <w:r>
              <w:t>1335.37</w:t>
            </w:r>
          </w:p>
        </w:tc>
        <w:tc>
          <w:tcPr>
            <w:tcW w:w="1134" w:type="dxa"/>
            <w:vAlign w:val="center"/>
          </w:tcPr>
          <w:p>
            <w:pPr>
              <w:pStyle w:val="12"/>
            </w:pPr>
            <w:r>
              <w:t>1335.37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1335.37</w:t>
            </w:r>
          </w:p>
        </w:tc>
        <w:tc>
          <w:tcPr>
            <w:tcW w:w="1134" w:type="dxa"/>
            <w:vAlign w:val="center"/>
          </w:tcPr>
          <w:p>
            <w:pPr>
              <w:pStyle w:val="12"/>
            </w:pPr>
            <w:r>
              <w:t>1335.37</w:t>
            </w:r>
          </w:p>
        </w:tc>
        <w:tc>
          <w:tcPr>
            <w:tcW w:w="1134" w:type="dxa"/>
            <w:vAlign w:val="center"/>
          </w:tcPr>
          <w:p>
            <w:pPr>
              <w:pStyle w:val="12"/>
            </w:pPr>
            <w:r>
              <w:t>1335.37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20139</w:t>
            </w:r>
          </w:p>
        </w:tc>
        <w:tc>
          <w:tcPr>
            <w:tcW w:w="1559" w:type="dxa"/>
            <w:vAlign w:val="center"/>
          </w:tcPr>
          <w:p>
            <w:pPr>
              <w:pStyle w:val="13"/>
            </w:pPr>
            <w:r>
              <w:t>社会工作事务</w:t>
            </w:r>
          </w:p>
        </w:tc>
        <w:tc>
          <w:tcPr>
            <w:tcW w:w="1134" w:type="dxa"/>
            <w:vAlign w:val="center"/>
          </w:tcPr>
          <w:p>
            <w:pPr>
              <w:pStyle w:val="12"/>
            </w:pPr>
            <w:r>
              <w:t>494.53</w:t>
            </w:r>
          </w:p>
        </w:tc>
        <w:tc>
          <w:tcPr>
            <w:tcW w:w="1134" w:type="dxa"/>
            <w:vAlign w:val="center"/>
          </w:tcPr>
          <w:p>
            <w:pPr>
              <w:pStyle w:val="12"/>
            </w:pPr>
            <w:r>
              <w:t>494.53</w:t>
            </w:r>
          </w:p>
        </w:tc>
        <w:tc>
          <w:tcPr>
            <w:tcW w:w="1134" w:type="dxa"/>
            <w:vAlign w:val="center"/>
          </w:tcPr>
          <w:p>
            <w:pPr>
              <w:pStyle w:val="12"/>
            </w:pPr>
            <w:r>
              <w:t>494.53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2013904</w:t>
            </w:r>
          </w:p>
        </w:tc>
        <w:tc>
          <w:tcPr>
            <w:tcW w:w="1559" w:type="dxa"/>
            <w:vAlign w:val="center"/>
          </w:tcPr>
          <w:p>
            <w:pPr>
              <w:pStyle w:val="13"/>
            </w:pPr>
            <w:r>
              <w:t>专项业务</w:t>
            </w:r>
          </w:p>
        </w:tc>
        <w:tc>
          <w:tcPr>
            <w:tcW w:w="1134" w:type="dxa"/>
            <w:vAlign w:val="center"/>
          </w:tcPr>
          <w:p>
            <w:pPr>
              <w:pStyle w:val="12"/>
            </w:pPr>
            <w:r>
              <w:t>494.53</w:t>
            </w:r>
          </w:p>
        </w:tc>
        <w:tc>
          <w:tcPr>
            <w:tcW w:w="1134" w:type="dxa"/>
            <w:vAlign w:val="center"/>
          </w:tcPr>
          <w:p>
            <w:pPr>
              <w:pStyle w:val="12"/>
            </w:pPr>
            <w:r>
              <w:t>494.53</w:t>
            </w:r>
          </w:p>
        </w:tc>
        <w:tc>
          <w:tcPr>
            <w:tcW w:w="1134" w:type="dxa"/>
            <w:vAlign w:val="center"/>
          </w:tcPr>
          <w:p>
            <w:pPr>
              <w:pStyle w:val="12"/>
            </w:pPr>
            <w:r>
              <w:t>494.53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399.70</w:t>
            </w:r>
          </w:p>
        </w:tc>
        <w:tc>
          <w:tcPr>
            <w:tcW w:w="1134" w:type="dxa"/>
            <w:vAlign w:val="center"/>
          </w:tcPr>
          <w:p>
            <w:pPr>
              <w:pStyle w:val="12"/>
            </w:pPr>
            <w:r>
              <w:t>302.18</w:t>
            </w:r>
          </w:p>
        </w:tc>
        <w:tc>
          <w:tcPr>
            <w:tcW w:w="1134" w:type="dxa"/>
            <w:vAlign w:val="center"/>
          </w:tcPr>
          <w:p>
            <w:pPr>
              <w:pStyle w:val="12"/>
            </w:pPr>
            <w:r>
              <w:t>302.18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97.52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2080102</w:t>
            </w:r>
          </w:p>
        </w:tc>
        <w:tc>
          <w:tcPr>
            <w:tcW w:w="1559" w:type="dxa"/>
            <w:vAlign w:val="center"/>
          </w:tcPr>
          <w:p>
            <w:pPr>
              <w:pStyle w:val="13"/>
            </w:pPr>
            <w:r>
              <w:t>一般行政管理事务</w:t>
            </w:r>
          </w:p>
        </w:tc>
        <w:tc>
          <w:tcPr>
            <w:tcW w:w="1134" w:type="dxa"/>
            <w:vAlign w:val="center"/>
          </w:tcPr>
          <w:p>
            <w:pPr>
              <w:pStyle w:val="12"/>
            </w:pPr>
            <w:r>
              <w:t>97.52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302.18</w:t>
            </w:r>
          </w:p>
        </w:tc>
        <w:tc>
          <w:tcPr>
            <w:tcW w:w="1134" w:type="dxa"/>
            <w:vAlign w:val="center"/>
          </w:tcPr>
          <w:p>
            <w:pPr>
              <w:pStyle w:val="12"/>
            </w:pPr>
            <w:r>
              <w:t>302.18</w:t>
            </w:r>
          </w:p>
        </w:tc>
        <w:tc>
          <w:tcPr>
            <w:tcW w:w="1134" w:type="dxa"/>
            <w:vAlign w:val="center"/>
          </w:tcPr>
          <w:p>
            <w:pPr>
              <w:pStyle w:val="12"/>
            </w:pPr>
            <w:r>
              <w:t>302.18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169.64</w:t>
            </w:r>
          </w:p>
        </w:tc>
        <w:tc>
          <w:tcPr>
            <w:tcW w:w="1134" w:type="dxa"/>
            <w:vAlign w:val="center"/>
          </w:tcPr>
          <w:p>
            <w:pPr>
              <w:pStyle w:val="12"/>
            </w:pPr>
            <w:r>
              <w:t>169.64</w:t>
            </w:r>
          </w:p>
        </w:tc>
        <w:tc>
          <w:tcPr>
            <w:tcW w:w="1134" w:type="dxa"/>
            <w:vAlign w:val="center"/>
          </w:tcPr>
          <w:p>
            <w:pPr>
              <w:pStyle w:val="12"/>
            </w:pPr>
            <w:r>
              <w:t>169.64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132.54</w:t>
            </w:r>
          </w:p>
        </w:tc>
        <w:tc>
          <w:tcPr>
            <w:tcW w:w="1134" w:type="dxa"/>
            <w:vAlign w:val="center"/>
          </w:tcPr>
          <w:p>
            <w:pPr>
              <w:pStyle w:val="12"/>
            </w:pPr>
            <w:r>
              <w:t>132.54</w:t>
            </w:r>
          </w:p>
        </w:tc>
        <w:tc>
          <w:tcPr>
            <w:tcW w:w="1134" w:type="dxa"/>
            <w:vAlign w:val="center"/>
          </w:tcPr>
          <w:p>
            <w:pPr>
              <w:pStyle w:val="12"/>
            </w:pPr>
            <w:r>
              <w:t>132.54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92.15</w:t>
            </w:r>
          </w:p>
        </w:tc>
        <w:tc>
          <w:tcPr>
            <w:tcW w:w="1134" w:type="dxa"/>
            <w:vAlign w:val="center"/>
          </w:tcPr>
          <w:p>
            <w:pPr>
              <w:pStyle w:val="12"/>
            </w:pPr>
            <w:r>
              <w:t>92.15</w:t>
            </w:r>
          </w:p>
        </w:tc>
        <w:tc>
          <w:tcPr>
            <w:tcW w:w="1134" w:type="dxa"/>
            <w:vAlign w:val="center"/>
          </w:tcPr>
          <w:p>
            <w:pPr>
              <w:pStyle w:val="12"/>
            </w:pPr>
            <w:r>
              <w:t>92.15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92.15</w:t>
            </w:r>
          </w:p>
        </w:tc>
        <w:tc>
          <w:tcPr>
            <w:tcW w:w="1134" w:type="dxa"/>
            <w:vAlign w:val="center"/>
          </w:tcPr>
          <w:p>
            <w:pPr>
              <w:pStyle w:val="12"/>
            </w:pPr>
            <w:r>
              <w:t>92.15</w:t>
            </w:r>
          </w:p>
        </w:tc>
        <w:tc>
          <w:tcPr>
            <w:tcW w:w="1134" w:type="dxa"/>
            <w:vAlign w:val="center"/>
          </w:tcPr>
          <w:p>
            <w:pPr>
              <w:pStyle w:val="12"/>
            </w:pPr>
            <w:r>
              <w:t>92.15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69.99</w:t>
            </w:r>
          </w:p>
        </w:tc>
        <w:tc>
          <w:tcPr>
            <w:tcW w:w="1134" w:type="dxa"/>
            <w:vAlign w:val="center"/>
          </w:tcPr>
          <w:p>
            <w:pPr>
              <w:pStyle w:val="12"/>
            </w:pPr>
            <w:r>
              <w:t>69.99</w:t>
            </w:r>
          </w:p>
        </w:tc>
        <w:tc>
          <w:tcPr>
            <w:tcW w:w="1134" w:type="dxa"/>
            <w:vAlign w:val="center"/>
          </w:tcPr>
          <w:p>
            <w:pPr>
              <w:pStyle w:val="12"/>
            </w:pPr>
            <w:r>
              <w:t>69.99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22.15</w:t>
            </w:r>
          </w:p>
        </w:tc>
        <w:tc>
          <w:tcPr>
            <w:tcW w:w="1134" w:type="dxa"/>
            <w:vAlign w:val="center"/>
          </w:tcPr>
          <w:p>
            <w:pPr>
              <w:pStyle w:val="12"/>
            </w:pPr>
            <w:r>
              <w:t>22.15</w:t>
            </w:r>
          </w:p>
        </w:tc>
        <w:tc>
          <w:tcPr>
            <w:tcW w:w="1134" w:type="dxa"/>
            <w:vAlign w:val="center"/>
          </w:tcPr>
          <w:p>
            <w:pPr>
              <w:pStyle w:val="12"/>
            </w:pPr>
            <w:r>
              <w:t>22.15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128.50</w:t>
            </w:r>
          </w:p>
        </w:tc>
        <w:tc>
          <w:tcPr>
            <w:tcW w:w="1134" w:type="dxa"/>
            <w:vAlign w:val="center"/>
          </w:tcPr>
          <w:p>
            <w:pPr>
              <w:pStyle w:val="12"/>
            </w:pPr>
            <w:r>
              <w:t>128.50</w:t>
            </w:r>
          </w:p>
        </w:tc>
        <w:tc>
          <w:tcPr>
            <w:tcW w:w="1134" w:type="dxa"/>
            <w:vAlign w:val="center"/>
          </w:tcPr>
          <w:p>
            <w:pPr>
              <w:pStyle w:val="12"/>
            </w:pPr>
            <w:r>
              <w:t>128.50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128.50</w:t>
            </w:r>
          </w:p>
        </w:tc>
        <w:tc>
          <w:tcPr>
            <w:tcW w:w="1134" w:type="dxa"/>
            <w:vAlign w:val="center"/>
          </w:tcPr>
          <w:p>
            <w:pPr>
              <w:pStyle w:val="12"/>
            </w:pPr>
            <w:r>
              <w:t>128.50</w:t>
            </w:r>
          </w:p>
        </w:tc>
        <w:tc>
          <w:tcPr>
            <w:tcW w:w="1134" w:type="dxa"/>
            <w:vAlign w:val="center"/>
          </w:tcPr>
          <w:p>
            <w:pPr>
              <w:pStyle w:val="12"/>
            </w:pPr>
            <w:r>
              <w:t>128.50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128.50</w:t>
            </w:r>
          </w:p>
        </w:tc>
        <w:tc>
          <w:tcPr>
            <w:tcW w:w="1134" w:type="dxa"/>
            <w:vAlign w:val="center"/>
          </w:tcPr>
          <w:p>
            <w:pPr>
              <w:pStyle w:val="12"/>
            </w:pPr>
            <w:r>
              <w:t>128.50</w:t>
            </w:r>
          </w:p>
        </w:tc>
        <w:tc>
          <w:tcPr>
            <w:tcW w:w="1134" w:type="dxa"/>
            <w:vAlign w:val="center"/>
          </w:tcPr>
          <w:p>
            <w:pPr>
              <w:pStyle w:val="12"/>
            </w:pPr>
            <w:r>
              <w:t>128.50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2742.14</w:t>
            </w:r>
          </w:p>
        </w:tc>
        <w:tc>
          <w:tcPr>
            <w:tcW w:w="1361" w:type="dxa"/>
            <w:vAlign w:val="center"/>
          </w:tcPr>
          <w:p>
            <w:pPr>
              <w:pStyle w:val="16"/>
            </w:pPr>
            <w:r>
              <w:t>2134.74</w:t>
            </w:r>
          </w:p>
        </w:tc>
        <w:tc>
          <w:tcPr>
            <w:tcW w:w="1361" w:type="dxa"/>
            <w:vAlign w:val="center"/>
          </w:tcPr>
          <w:p>
            <w:pPr>
              <w:pStyle w:val="16"/>
            </w:pPr>
            <w:r>
              <w:t>607.40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2121.79</w:t>
            </w:r>
          </w:p>
        </w:tc>
        <w:tc>
          <w:tcPr>
            <w:tcW w:w="1361" w:type="dxa"/>
            <w:vAlign w:val="center"/>
          </w:tcPr>
          <w:p>
            <w:pPr>
              <w:pStyle w:val="12"/>
            </w:pPr>
            <w:r>
              <w:t>1611.91</w:t>
            </w:r>
          </w:p>
        </w:tc>
        <w:tc>
          <w:tcPr>
            <w:tcW w:w="1361" w:type="dxa"/>
            <w:vAlign w:val="center"/>
          </w:tcPr>
          <w:p>
            <w:pPr>
              <w:pStyle w:val="12"/>
            </w:pPr>
            <w:r>
              <w:t>509.88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291.88</w:t>
            </w:r>
          </w:p>
        </w:tc>
        <w:tc>
          <w:tcPr>
            <w:tcW w:w="1361" w:type="dxa"/>
            <w:vAlign w:val="center"/>
          </w:tcPr>
          <w:p>
            <w:pPr>
              <w:pStyle w:val="12"/>
            </w:pPr>
          </w:p>
        </w:tc>
        <w:tc>
          <w:tcPr>
            <w:tcW w:w="1361" w:type="dxa"/>
            <w:vAlign w:val="center"/>
          </w:tcPr>
          <w:p>
            <w:pPr>
              <w:pStyle w:val="12"/>
            </w:pPr>
            <w:r>
              <w:t>291.88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2010102</w:t>
            </w:r>
          </w:p>
        </w:tc>
        <w:tc>
          <w:tcPr>
            <w:tcW w:w="4535" w:type="dxa"/>
            <w:vAlign w:val="center"/>
          </w:tcPr>
          <w:p>
            <w:pPr>
              <w:pStyle w:val="13"/>
            </w:pPr>
            <w:r>
              <w:t>一般行政管理事务</w:t>
            </w:r>
          </w:p>
        </w:tc>
        <w:tc>
          <w:tcPr>
            <w:tcW w:w="1361" w:type="dxa"/>
            <w:vAlign w:val="center"/>
          </w:tcPr>
          <w:p>
            <w:pPr>
              <w:pStyle w:val="12"/>
            </w:pPr>
            <w:r>
              <w:t>291.88</w:t>
            </w:r>
          </w:p>
        </w:tc>
        <w:tc>
          <w:tcPr>
            <w:tcW w:w="1361" w:type="dxa"/>
            <w:vAlign w:val="center"/>
          </w:tcPr>
          <w:p>
            <w:pPr>
              <w:pStyle w:val="12"/>
            </w:pPr>
          </w:p>
        </w:tc>
        <w:tc>
          <w:tcPr>
            <w:tcW w:w="1361" w:type="dxa"/>
            <w:vAlign w:val="center"/>
          </w:tcPr>
          <w:p>
            <w:pPr>
              <w:pStyle w:val="12"/>
            </w:pPr>
            <w:r>
              <w:t>291.88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1335.37</w:t>
            </w:r>
          </w:p>
        </w:tc>
        <w:tc>
          <w:tcPr>
            <w:tcW w:w="1361" w:type="dxa"/>
            <w:vAlign w:val="center"/>
          </w:tcPr>
          <w:p>
            <w:pPr>
              <w:pStyle w:val="12"/>
            </w:pPr>
            <w:r>
              <w:t>1335.37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1335.37</w:t>
            </w:r>
          </w:p>
        </w:tc>
        <w:tc>
          <w:tcPr>
            <w:tcW w:w="1361" w:type="dxa"/>
            <w:vAlign w:val="center"/>
          </w:tcPr>
          <w:p>
            <w:pPr>
              <w:pStyle w:val="12"/>
            </w:pPr>
            <w:r>
              <w:t>1335.37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20139</w:t>
            </w:r>
          </w:p>
        </w:tc>
        <w:tc>
          <w:tcPr>
            <w:tcW w:w="4535" w:type="dxa"/>
            <w:vAlign w:val="center"/>
          </w:tcPr>
          <w:p>
            <w:pPr>
              <w:pStyle w:val="13"/>
            </w:pPr>
            <w:r>
              <w:t>社会工作事务</w:t>
            </w:r>
          </w:p>
        </w:tc>
        <w:tc>
          <w:tcPr>
            <w:tcW w:w="1361" w:type="dxa"/>
            <w:vAlign w:val="center"/>
          </w:tcPr>
          <w:p>
            <w:pPr>
              <w:pStyle w:val="12"/>
            </w:pPr>
            <w:r>
              <w:t>494.53</w:t>
            </w:r>
          </w:p>
        </w:tc>
        <w:tc>
          <w:tcPr>
            <w:tcW w:w="1361" w:type="dxa"/>
            <w:vAlign w:val="center"/>
          </w:tcPr>
          <w:p>
            <w:pPr>
              <w:pStyle w:val="12"/>
            </w:pPr>
            <w:r>
              <w:t>276.53</w:t>
            </w:r>
          </w:p>
        </w:tc>
        <w:tc>
          <w:tcPr>
            <w:tcW w:w="1361" w:type="dxa"/>
            <w:vAlign w:val="center"/>
          </w:tcPr>
          <w:p>
            <w:pPr>
              <w:pStyle w:val="12"/>
            </w:pPr>
            <w:r>
              <w:t>218.00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2013904</w:t>
            </w:r>
          </w:p>
        </w:tc>
        <w:tc>
          <w:tcPr>
            <w:tcW w:w="4535" w:type="dxa"/>
            <w:vAlign w:val="center"/>
          </w:tcPr>
          <w:p>
            <w:pPr>
              <w:pStyle w:val="13"/>
            </w:pPr>
            <w:r>
              <w:t>专项业务</w:t>
            </w:r>
          </w:p>
        </w:tc>
        <w:tc>
          <w:tcPr>
            <w:tcW w:w="1361" w:type="dxa"/>
            <w:vAlign w:val="center"/>
          </w:tcPr>
          <w:p>
            <w:pPr>
              <w:pStyle w:val="12"/>
            </w:pPr>
            <w:r>
              <w:t>494.53</w:t>
            </w:r>
          </w:p>
        </w:tc>
        <w:tc>
          <w:tcPr>
            <w:tcW w:w="1361" w:type="dxa"/>
            <w:vAlign w:val="center"/>
          </w:tcPr>
          <w:p>
            <w:pPr>
              <w:pStyle w:val="12"/>
            </w:pPr>
            <w:r>
              <w:t>276.53</w:t>
            </w:r>
          </w:p>
        </w:tc>
        <w:tc>
          <w:tcPr>
            <w:tcW w:w="1361" w:type="dxa"/>
            <w:vAlign w:val="center"/>
          </w:tcPr>
          <w:p>
            <w:pPr>
              <w:pStyle w:val="12"/>
            </w:pPr>
            <w:r>
              <w:t>218.00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399.70</w:t>
            </w:r>
          </w:p>
        </w:tc>
        <w:tc>
          <w:tcPr>
            <w:tcW w:w="1361" w:type="dxa"/>
            <w:vAlign w:val="center"/>
          </w:tcPr>
          <w:p>
            <w:pPr>
              <w:pStyle w:val="12"/>
            </w:pPr>
            <w:r>
              <w:t>302.18</w:t>
            </w:r>
          </w:p>
        </w:tc>
        <w:tc>
          <w:tcPr>
            <w:tcW w:w="1361" w:type="dxa"/>
            <w:vAlign w:val="center"/>
          </w:tcPr>
          <w:p>
            <w:pPr>
              <w:pStyle w:val="12"/>
            </w:pPr>
            <w:r>
              <w:t>97.52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97.52</w:t>
            </w:r>
          </w:p>
        </w:tc>
        <w:tc>
          <w:tcPr>
            <w:tcW w:w="1361" w:type="dxa"/>
            <w:vAlign w:val="center"/>
          </w:tcPr>
          <w:p>
            <w:pPr>
              <w:pStyle w:val="12"/>
            </w:pPr>
          </w:p>
        </w:tc>
        <w:tc>
          <w:tcPr>
            <w:tcW w:w="1361" w:type="dxa"/>
            <w:vAlign w:val="center"/>
          </w:tcPr>
          <w:p>
            <w:pPr>
              <w:pStyle w:val="12"/>
            </w:pPr>
            <w:r>
              <w:t>97.52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2080102</w:t>
            </w:r>
          </w:p>
        </w:tc>
        <w:tc>
          <w:tcPr>
            <w:tcW w:w="4535" w:type="dxa"/>
            <w:vAlign w:val="center"/>
          </w:tcPr>
          <w:p>
            <w:pPr>
              <w:pStyle w:val="13"/>
            </w:pPr>
            <w:r>
              <w:t>一般行政管理事务</w:t>
            </w:r>
          </w:p>
        </w:tc>
        <w:tc>
          <w:tcPr>
            <w:tcW w:w="1361" w:type="dxa"/>
            <w:vAlign w:val="center"/>
          </w:tcPr>
          <w:p>
            <w:pPr>
              <w:pStyle w:val="12"/>
            </w:pPr>
            <w:r>
              <w:t>97.52</w:t>
            </w:r>
          </w:p>
        </w:tc>
        <w:tc>
          <w:tcPr>
            <w:tcW w:w="1361" w:type="dxa"/>
            <w:vAlign w:val="center"/>
          </w:tcPr>
          <w:p>
            <w:pPr>
              <w:pStyle w:val="12"/>
            </w:pPr>
          </w:p>
        </w:tc>
        <w:tc>
          <w:tcPr>
            <w:tcW w:w="1361" w:type="dxa"/>
            <w:vAlign w:val="center"/>
          </w:tcPr>
          <w:p>
            <w:pPr>
              <w:pStyle w:val="12"/>
            </w:pPr>
            <w:r>
              <w:t>97.52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302.18</w:t>
            </w:r>
          </w:p>
        </w:tc>
        <w:tc>
          <w:tcPr>
            <w:tcW w:w="1361" w:type="dxa"/>
            <w:vAlign w:val="center"/>
          </w:tcPr>
          <w:p>
            <w:pPr>
              <w:pStyle w:val="12"/>
            </w:pPr>
            <w:r>
              <w:t>302.18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169.64</w:t>
            </w:r>
          </w:p>
        </w:tc>
        <w:tc>
          <w:tcPr>
            <w:tcW w:w="1361" w:type="dxa"/>
            <w:vAlign w:val="center"/>
          </w:tcPr>
          <w:p>
            <w:pPr>
              <w:pStyle w:val="12"/>
            </w:pPr>
            <w:r>
              <w:t>169.64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132.54</w:t>
            </w:r>
          </w:p>
        </w:tc>
        <w:tc>
          <w:tcPr>
            <w:tcW w:w="1361" w:type="dxa"/>
            <w:vAlign w:val="center"/>
          </w:tcPr>
          <w:p>
            <w:pPr>
              <w:pStyle w:val="12"/>
            </w:pPr>
            <w:r>
              <w:t>132.54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92.15</w:t>
            </w:r>
          </w:p>
        </w:tc>
        <w:tc>
          <w:tcPr>
            <w:tcW w:w="1361" w:type="dxa"/>
            <w:vAlign w:val="center"/>
          </w:tcPr>
          <w:p>
            <w:pPr>
              <w:pStyle w:val="12"/>
            </w:pPr>
            <w:r>
              <w:t>92.15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92.15</w:t>
            </w:r>
          </w:p>
        </w:tc>
        <w:tc>
          <w:tcPr>
            <w:tcW w:w="1361" w:type="dxa"/>
            <w:vAlign w:val="center"/>
          </w:tcPr>
          <w:p>
            <w:pPr>
              <w:pStyle w:val="12"/>
            </w:pPr>
            <w:r>
              <w:t>92.15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69.99</w:t>
            </w:r>
          </w:p>
        </w:tc>
        <w:tc>
          <w:tcPr>
            <w:tcW w:w="1361" w:type="dxa"/>
            <w:vAlign w:val="center"/>
          </w:tcPr>
          <w:p>
            <w:pPr>
              <w:pStyle w:val="12"/>
            </w:pPr>
            <w:r>
              <w:t>69.99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22.15</w:t>
            </w:r>
          </w:p>
        </w:tc>
        <w:tc>
          <w:tcPr>
            <w:tcW w:w="1361" w:type="dxa"/>
            <w:vAlign w:val="center"/>
          </w:tcPr>
          <w:p>
            <w:pPr>
              <w:pStyle w:val="12"/>
            </w:pPr>
            <w:r>
              <w:t>22.15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128.50</w:t>
            </w:r>
          </w:p>
        </w:tc>
        <w:tc>
          <w:tcPr>
            <w:tcW w:w="1361" w:type="dxa"/>
            <w:vAlign w:val="center"/>
          </w:tcPr>
          <w:p>
            <w:pPr>
              <w:pStyle w:val="12"/>
            </w:pPr>
            <w:r>
              <w:t>128.50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128.50</w:t>
            </w:r>
          </w:p>
        </w:tc>
        <w:tc>
          <w:tcPr>
            <w:tcW w:w="1361" w:type="dxa"/>
            <w:vAlign w:val="center"/>
          </w:tcPr>
          <w:p>
            <w:pPr>
              <w:pStyle w:val="12"/>
            </w:pPr>
            <w:r>
              <w:t>128.50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128.50</w:t>
            </w:r>
          </w:p>
        </w:tc>
        <w:tc>
          <w:tcPr>
            <w:tcW w:w="1361" w:type="dxa"/>
            <w:vAlign w:val="center"/>
          </w:tcPr>
          <w:p>
            <w:pPr>
              <w:pStyle w:val="12"/>
            </w:pPr>
            <w:r>
              <w:t>128.50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2644.61</w:t>
            </w:r>
          </w:p>
        </w:tc>
        <w:tc>
          <w:tcPr>
            <w:tcW w:w="3402" w:type="dxa"/>
            <w:vAlign w:val="center"/>
          </w:tcPr>
          <w:p>
            <w:pPr>
              <w:pStyle w:val="13"/>
            </w:pPr>
            <w:r>
              <w:t>一、一般公共服务支出</w:t>
            </w:r>
          </w:p>
        </w:tc>
        <w:tc>
          <w:tcPr>
            <w:tcW w:w="1474" w:type="dxa"/>
            <w:vAlign w:val="center"/>
          </w:tcPr>
          <w:p>
            <w:pPr>
              <w:pStyle w:val="12"/>
            </w:pPr>
            <w:r>
              <w:t>2121.79</w:t>
            </w:r>
          </w:p>
        </w:tc>
        <w:tc>
          <w:tcPr>
            <w:tcW w:w="1474" w:type="dxa"/>
            <w:vAlign w:val="center"/>
          </w:tcPr>
          <w:p>
            <w:pPr>
              <w:pStyle w:val="12"/>
            </w:pPr>
            <w:r>
              <w:t>2121.79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399.70</w:t>
            </w:r>
          </w:p>
        </w:tc>
        <w:tc>
          <w:tcPr>
            <w:tcW w:w="1474" w:type="dxa"/>
            <w:vAlign w:val="center"/>
          </w:tcPr>
          <w:p>
            <w:pPr>
              <w:pStyle w:val="12"/>
            </w:pPr>
            <w:r>
              <w:t>399.70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92.15</w:t>
            </w:r>
          </w:p>
        </w:tc>
        <w:tc>
          <w:tcPr>
            <w:tcW w:w="1474" w:type="dxa"/>
            <w:vAlign w:val="center"/>
          </w:tcPr>
          <w:p>
            <w:pPr>
              <w:pStyle w:val="12"/>
            </w:pPr>
            <w:r>
              <w:t>92.15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128.50</w:t>
            </w:r>
          </w:p>
        </w:tc>
        <w:tc>
          <w:tcPr>
            <w:tcW w:w="1474" w:type="dxa"/>
            <w:vAlign w:val="center"/>
          </w:tcPr>
          <w:p>
            <w:pPr>
              <w:pStyle w:val="12"/>
            </w:pPr>
            <w:r>
              <w:t>128.50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2644.61</w:t>
            </w:r>
          </w:p>
        </w:tc>
        <w:tc>
          <w:tcPr>
            <w:tcW w:w="3402" w:type="dxa"/>
            <w:vAlign w:val="center"/>
          </w:tcPr>
          <w:p>
            <w:pPr>
              <w:pStyle w:val="15"/>
            </w:pPr>
            <w:r>
              <w:t>本年支出合计</w:t>
            </w:r>
          </w:p>
        </w:tc>
        <w:tc>
          <w:tcPr>
            <w:tcW w:w="1474" w:type="dxa"/>
            <w:vAlign w:val="center"/>
          </w:tcPr>
          <w:p>
            <w:pPr>
              <w:pStyle w:val="16"/>
            </w:pPr>
            <w:r>
              <w:t>2742.14</w:t>
            </w:r>
          </w:p>
        </w:tc>
        <w:tc>
          <w:tcPr>
            <w:tcW w:w="1474" w:type="dxa"/>
            <w:vAlign w:val="center"/>
          </w:tcPr>
          <w:p>
            <w:pPr>
              <w:pStyle w:val="16"/>
            </w:pPr>
            <w:r>
              <w:t>2742.14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97.52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97.52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2742.14</w:t>
            </w:r>
          </w:p>
        </w:tc>
        <w:tc>
          <w:tcPr>
            <w:tcW w:w="3402" w:type="dxa"/>
            <w:vAlign w:val="center"/>
          </w:tcPr>
          <w:p>
            <w:pPr>
              <w:pStyle w:val="15"/>
            </w:pPr>
            <w:r>
              <w:t>支出总计</w:t>
            </w:r>
          </w:p>
        </w:tc>
        <w:tc>
          <w:tcPr>
            <w:tcW w:w="1474" w:type="dxa"/>
            <w:vAlign w:val="center"/>
          </w:tcPr>
          <w:p>
            <w:pPr>
              <w:pStyle w:val="16"/>
            </w:pPr>
            <w:r>
              <w:t>2742.14</w:t>
            </w:r>
          </w:p>
        </w:tc>
        <w:tc>
          <w:tcPr>
            <w:tcW w:w="1474" w:type="dxa"/>
            <w:vAlign w:val="center"/>
          </w:tcPr>
          <w:p>
            <w:pPr>
              <w:pStyle w:val="16"/>
            </w:pPr>
            <w:r>
              <w:t>2742.14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2742.14</w:t>
            </w:r>
          </w:p>
        </w:tc>
        <w:tc>
          <w:tcPr>
            <w:tcW w:w="2551" w:type="dxa"/>
            <w:vAlign w:val="center"/>
          </w:tcPr>
          <w:p>
            <w:pPr>
              <w:pStyle w:val="16"/>
            </w:pPr>
            <w:r>
              <w:t>2134.74</w:t>
            </w:r>
          </w:p>
        </w:tc>
        <w:tc>
          <w:tcPr>
            <w:tcW w:w="2551" w:type="dxa"/>
            <w:vAlign w:val="center"/>
          </w:tcPr>
          <w:p>
            <w:pPr>
              <w:pStyle w:val="16"/>
            </w:pPr>
            <w:r>
              <w:t>607.40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2121.79</w:t>
            </w:r>
          </w:p>
        </w:tc>
        <w:tc>
          <w:tcPr>
            <w:tcW w:w="2551" w:type="dxa"/>
            <w:vAlign w:val="center"/>
          </w:tcPr>
          <w:p>
            <w:pPr>
              <w:pStyle w:val="12"/>
            </w:pPr>
            <w:r>
              <w:t>1611.91</w:t>
            </w:r>
          </w:p>
        </w:tc>
        <w:tc>
          <w:tcPr>
            <w:tcW w:w="2551" w:type="dxa"/>
            <w:vAlign w:val="center"/>
          </w:tcPr>
          <w:p>
            <w:pPr>
              <w:pStyle w:val="12"/>
            </w:pPr>
            <w:r>
              <w:t>509.88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291.88</w:t>
            </w:r>
          </w:p>
        </w:tc>
        <w:tc>
          <w:tcPr>
            <w:tcW w:w="2551" w:type="dxa"/>
            <w:vAlign w:val="center"/>
          </w:tcPr>
          <w:p>
            <w:pPr>
              <w:pStyle w:val="12"/>
            </w:pPr>
          </w:p>
        </w:tc>
        <w:tc>
          <w:tcPr>
            <w:tcW w:w="2551" w:type="dxa"/>
            <w:vAlign w:val="center"/>
          </w:tcPr>
          <w:p>
            <w:pPr>
              <w:pStyle w:val="12"/>
            </w:pPr>
            <w:r>
              <w:t>291.88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2010102</w:t>
            </w:r>
          </w:p>
        </w:tc>
        <w:tc>
          <w:tcPr>
            <w:tcW w:w="4535" w:type="dxa"/>
            <w:vAlign w:val="center"/>
          </w:tcPr>
          <w:p>
            <w:pPr>
              <w:pStyle w:val="13"/>
            </w:pPr>
            <w:r>
              <w:t>一般行政管理事务</w:t>
            </w:r>
          </w:p>
        </w:tc>
        <w:tc>
          <w:tcPr>
            <w:tcW w:w="2551" w:type="dxa"/>
            <w:vAlign w:val="center"/>
          </w:tcPr>
          <w:p>
            <w:pPr>
              <w:pStyle w:val="12"/>
            </w:pPr>
            <w:r>
              <w:t>291.88</w:t>
            </w:r>
          </w:p>
        </w:tc>
        <w:tc>
          <w:tcPr>
            <w:tcW w:w="2551" w:type="dxa"/>
            <w:vAlign w:val="center"/>
          </w:tcPr>
          <w:p>
            <w:pPr>
              <w:pStyle w:val="12"/>
            </w:pPr>
          </w:p>
        </w:tc>
        <w:tc>
          <w:tcPr>
            <w:tcW w:w="2551" w:type="dxa"/>
            <w:vAlign w:val="center"/>
          </w:tcPr>
          <w:p>
            <w:pPr>
              <w:pStyle w:val="12"/>
            </w:pPr>
            <w:r>
              <w:t>291.88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1335.37</w:t>
            </w:r>
          </w:p>
        </w:tc>
        <w:tc>
          <w:tcPr>
            <w:tcW w:w="2551" w:type="dxa"/>
            <w:vAlign w:val="center"/>
          </w:tcPr>
          <w:p>
            <w:pPr>
              <w:pStyle w:val="12"/>
            </w:pPr>
            <w:r>
              <w:t>1335.37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1335.37</w:t>
            </w:r>
          </w:p>
        </w:tc>
        <w:tc>
          <w:tcPr>
            <w:tcW w:w="2551" w:type="dxa"/>
            <w:vAlign w:val="center"/>
          </w:tcPr>
          <w:p>
            <w:pPr>
              <w:pStyle w:val="12"/>
            </w:pPr>
            <w:r>
              <w:t>1335.37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20139</w:t>
            </w:r>
          </w:p>
        </w:tc>
        <w:tc>
          <w:tcPr>
            <w:tcW w:w="4535" w:type="dxa"/>
            <w:vAlign w:val="center"/>
          </w:tcPr>
          <w:p>
            <w:pPr>
              <w:pStyle w:val="13"/>
            </w:pPr>
            <w:r>
              <w:t>社会工作事务</w:t>
            </w:r>
          </w:p>
        </w:tc>
        <w:tc>
          <w:tcPr>
            <w:tcW w:w="2551" w:type="dxa"/>
            <w:vAlign w:val="center"/>
          </w:tcPr>
          <w:p>
            <w:pPr>
              <w:pStyle w:val="12"/>
            </w:pPr>
            <w:r>
              <w:t>494.53</w:t>
            </w:r>
          </w:p>
        </w:tc>
        <w:tc>
          <w:tcPr>
            <w:tcW w:w="2551" w:type="dxa"/>
            <w:vAlign w:val="center"/>
          </w:tcPr>
          <w:p>
            <w:pPr>
              <w:pStyle w:val="12"/>
            </w:pPr>
            <w:r>
              <w:t>276.53</w:t>
            </w:r>
          </w:p>
        </w:tc>
        <w:tc>
          <w:tcPr>
            <w:tcW w:w="2551" w:type="dxa"/>
            <w:vAlign w:val="center"/>
          </w:tcPr>
          <w:p>
            <w:pPr>
              <w:pStyle w:val="12"/>
            </w:pPr>
            <w:r>
              <w:t>218.00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2013904</w:t>
            </w:r>
          </w:p>
        </w:tc>
        <w:tc>
          <w:tcPr>
            <w:tcW w:w="4535" w:type="dxa"/>
            <w:vAlign w:val="center"/>
          </w:tcPr>
          <w:p>
            <w:pPr>
              <w:pStyle w:val="13"/>
            </w:pPr>
            <w:r>
              <w:t>专项业务</w:t>
            </w:r>
          </w:p>
        </w:tc>
        <w:tc>
          <w:tcPr>
            <w:tcW w:w="2551" w:type="dxa"/>
            <w:vAlign w:val="center"/>
          </w:tcPr>
          <w:p>
            <w:pPr>
              <w:pStyle w:val="12"/>
            </w:pPr>
            <w:r>
              <w:t>494.53</w:t>
            </w:r>
          </w:p>
        </w:tc>
        <w:tc>
          <w:tcPr>
            <w:tcW w:w="2551" w:type="dxa"/>
            <w:vAlign w:val="center"/>
          </w:tcPr>
          <w:p>
            <w:pPr>
              <w:pStyle w:val="12"/>
            </w:pPr>
            <w:r>
              <w:t>276.53</w:t>
            </w:r>
          </w:p>
        </w:tc>
        <w:tc>
          <w:tcPr>
            <w:tcW w:w="2551" w:type="dxa"/>
            <w:vAlign w:val="center"/>
          </w:tcPr>
          <w:p>
            <w:pPr>
              <w:pStyle w:val="12"/>
            </w:pPr>
            <w:r>
              <w:t>218.00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399.70</w:t>
            </w:r>
          </w:p>
        </w:tc>
        <w:tc>
          <w:tcPr>
            <w:tcW w:w="2551" w:type="dxa"/>
            <w:vAlign w:val="center"/>
          </w:tcPr>
          <w:p>
            <w:pPr>
              <w:pStyle w:val="12"/>
            </w:pPr>
            <w:r>
              <w:t>302.18</w:t>
            </w:r>
          </w:p>
        </w:tc>
        <w:tc>
          <w:tcPr>
            <w:tcW w:w="2551" w:type="dxa"/>
            <w:vAlign w:val="center"/>
          </w:tcPr>
          <w:p>
            <w:pPr>
              <w:pStyle w:val="12"/>
            </w:pPr>
            <w:r>
              <w:t>97.52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97.52</w:t>
            </w:r>
          </w:p>
        </w:tc>
        <w:tc>
          <w:tcPr>
            <w:tcW w:w="2551" w:type="dxa"/>
            <w:vAlign w:val="center"/>
          </w:tcPr>
          <w:p>
            <w:pPr>
              <w:pStyle w:val="12"/>
            </w:pPr>
          </w:p>
        </w:tc>
        <w:tc>
          <w:tcPr>
            <w:tcW w:w="2551" w:type="dxa"/>
            <w:vAlign w:val="center"/>
          </w:tcPr>
          <w:p>
            <w:pPr>
              <w:pStyle w:val="12"/>
            </w:pPr>
            <w:r>
              <w:t>97.52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2080102</w:t>
            </w:r>
          </w:p>
        </w:tc>
        <w:tc>
          <w:tcPr>
            <w:tcW w:w="4535" w:type="dxa"/>
            <w:vAlign w:val="center"/>
          </w:tcPr>
          <w:p>
            <w:pPr>
              <w:pStyle w:val="13"/>
            </w:pPr>
            <w:r>
              <w:t>一般行政管理事务</w:t>
            </w:r>
          </w:p>
        </w:tc>
        <w:tc>
          <w:tcPr>
            <w:tcW w:w="2551" w:type="dxa"/>
            <w:vAlign w:val="center"/>
          </w:tcPr>
          <w:p>
            <w:pPr>
              <w:pStyle w:val="12"/>
            </w:pPr>
            <w:r>
              <w:t>97.52</w:t>
            </w:r>
          </w:p>
        </w:tc>
        <w:tc>
          <w:tcPr>
            <w:tcW w:w="2551" w:type="dxa"/>
            <w:vAlign w:val="center"/>
          </w:tcPr>
          <w:p>
            <w:pPr>
              <w:pStyle w:val="12"/>
            </w:pPr>
          </w:p>
        </w:tc>
        <w:tc>
          <w:tcPr>
            <w:tcW w:w="2551" w:type="dxa"/>
            <w:vAlign w:val="center"/>
          </w:tcPr>
          <w:p>
            <w:pPr>
              <w:pStyle w:val="12"/>
            </w:pPr>
            <w:r>
              <w:t>97.52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302.18</w:t>
            </w:r>
          </w:p>
        </w:tc>
        <w:tc>
          <w:tcPr>
            <w:tcW w:w="2551" w:type="dxa"/>
            <w:vAlign w:val="center"/>
          </w:tcPr>
          <w:p>
            <w:pPr>
              <w:pStyle w:val="12"/>
            </w:pPr>
            <w:r>
              <w:t>302.18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169.64</w:t>
            </w:r>
          </w:p>
        </w:tc>
        <w:tc>
          <w:tcPr>
            <w:tcW w:w="2551" w:type="dxa"/>
            <w:vAlign w:val="center"/>
          </w:tcPr>
          <w:p>
            <w:pPr>
              <w:pStyle w:val="12"/>
            </w:pPr>
            <w:r>
              <w:t>169.64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132.54</w:t>
            </w:r>
          </w:p>
        </w:tc>
        <w:tc>
          <w:tcPr>
            <w:tcW w:w="2551" w:type="dxa"/>
            <w:vAlign w:val="center"/>
          </w:tcPr>
          <w:p>
            <w:pPr>
              <w:pStyle w:val="12"/>
            </w:pPr>
            <w:r>
              <w:t>132.54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92.15</w:t>
            </w:r>
          </w:p>
        </w:tc>
        <w:tc>
          <w:tcPr>
            <w:tcW w:w="2551" w:type="dxa"/>
            <w:vAlign w:val="center"/>
          </w:tcPr>
          <w:p>
            <w:pPr>
              <w:pStyle w:val="12"/>
            </w:pPr>
            <w:r>
              <w:t>92.15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92.15</w:t>
            </w:r>
          </w:p>
        </w:tc>
        <w:tc>
          <w:tcPr>
            <w:tcW w:w="2551" w:type="dxa"/>
            <w:vAlign w:val="center"/>
          </w:tcPr>
          <w:p>
            <w:pPr>
              <w:pStyle w:val="12"/>
            </w:pPr>
            <w:r>
              <w:t>92.15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69.99</w:t>
            </w:r>
          </w:p>
        </w:tc>
        <w:tc>
          <w:tcPr>
            <w:tcW w:w="2551" w:type="dxa"/>
            <w:vAlign w:val="center"/>
          </w:tcPr>
          <w:p>
            <w:pPr>
              <w:pStyle w:val="12"/>
            </w:pPr>
            <w:r>
              <w:t>69.99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22.15</w:t>
            </w:r>
          </w:p>
        </w:tc>
        <w:tc>
          <w:tcPr>
            <w:tcW w:w="2551" w:type="dxa"/>
            <w:vAlign w:val="center"/>
          </w:tcPr>
          <w:p>
            <w:pPr>
              <w:pStyle w:val="12"/>
            </w:pPr>
            <w:r>
              <w:t>22.15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128.50</w:t>
            </w:r>
          </w:p>
        </w:tc>
        <w:tc>
          <w:tcPr>
            <w:tcW w:w="2551" w:type="dxa"/>
            <w:vAlign w:val="center"/>
          </w:tcPr>
          <w:p>
            <w:pPr>
              <w:pStyle w:val="12"/>
            </w:pPr>
            <w:r>
              <w:t>128.50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128.50</w:t>
            </w:r>
          </w:p>
        </w:tc>
        <w:tc>
          <w:tcPr>
            <w:tcW w:w="2551" w:type="dxa"/>
            <w:vAlign w:val="center"/>
          </w:tcPr>
          <w:p>
            <w:pPr>
              <w:pStyle w:val="12"/>
            </w:pPr>
            <w:r>
              <w:t>128.50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128.50</w:t>
            </w:r>
          </w:p>
        </w:tc>
        <w:tc>
          <w:tcPr>
            <w:tcW w:w="2551" w:type="dxa"/>
            <w:vAlign w:val="center"/>
          </w:tcPr>
          <w:p>
            <w:pPr>
              <w:pStyle w:val="12"/>
            </w:pPr>
            <w:r>
              <w:t>128.50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2134.74</w:t>
            </w:r>
          </w:p>
        </w:tc>
        <w:tc>
          <w:tcPr>
            <w:tcW w:w="2551" w:type="dxa"/>
            <w:vAlign w:val="center"/>
          </w:tcPr>
          <w:p>
            <w:pPr>
              <w:pStyle w:val="16"/>
            </w:pPr>
            <w:r>
              <w:t>1821.35</w:t>
            </w:r>
          </w:p>
        </w:tc>
        <w:tc>
          <w:tcPr>
            <w:tcW w:w="2551" w:type="dxa"/>
            <w:vAlign w:val="center"/>
          </w:tcPr>
          <w:p>
            <w:pPr>
              <w:pStyle w:val="16"/>
            </w:pPr>
            <w:r>
              <w:t>313.38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1595.80</w:t>
            </w:r>
          </w:p>
        </w:tc>
        <w:tc>
          <w:tcPr>
            <w:tcW w:w="2551" w:type="dxa"/>
            <w:vAlign w:val="center"/>
          </w:tcPr>
          <w:p>
            <w:pPr>
              <w:pStyle w:val="12"/>
            </w:pPr>
            <w:r>
              <w:t>1595.80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327.50</w:t>
            </w:r>
          </w:p>
        </w:tc>
        <w:tc>
          <w:tcPr>
            <w:tcW w:w="2551" w:type="dxa"/>
            <w:vAlign w:val="center"/>
          </w:tcPr>
          <w:p>
            <w:pPr>
              <w:pStyle w:val="12"/>
            </w:pPr>
            <w:r>
              <w:t>327.50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277.00</w:t>
            </w:r>
          </w:p>
        </w:tc>
        <w:tc>
          <w:tcPr>
            <w:tcW w:w="2551" w:type="dxa"/>
            <w:vAlign w:val="center"/>
          </w:tcPr>
          <w:p>
            <w:pPr>
              <w:pStyle w:val="12"/>
            </w:pPr>
            <w:r>
              <w:t>277.00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254.56</w:t>
            </w:r>
          </w:p>
        </w:tc>
        <w:tc>
          <w:tcPr>
            <w:tcW w:w="2551" w:type="dxa"/>
            <w:vAlign w:val="center"/>
          </w:tcPr>
          <w:p>
            <w:pPr>
              <w:pStyle w:val="12"/>
            </w:pPr>
            <w:r>
              <w:t>254.56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274.21</w:t>
            </w:r>
          </w:p>
        </w:tc>
        <w:tc>
          <w:tcPr>
            <w:tcW w:w="2551" w:type="dxa"/>
            <w:vAlign w:val="center"/>
          </w:tcPr>
          <w:p>
            <w:pPr>
              <w:pStyle w:val="12"/>
            </w:pPr>
            <w:r>
              <w:t>274.21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132.54</w:t>
            </w:r>
          </w:p>
        </w:tc>
        <w:tc>
          <w:tcPr>
            <w:tcW w:w="2551" w:type="dxa"/>
            <w:vAlign w:val="center"/>
          </w:tcPr>
          <w:p>
            <w:pPr>
              <w:pStyle w:val="12"/>
            </w:pPr>
            <w:r>
              <w:t>132.54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74.10</w:t>
            </w:r>
          </w:p>
        </w:tc>
        <w:tc>
          <w:tcPr>
            <w:tcW w:w="2551" w:type="dxa"/>
            <w:vAlign w:val="center"/>
          </w:tcPr>
          <w:p>
            <w:pPr>
              <w:pStyle w:val="12"/>
            </w:pPr>
            <w:r>
              <w:t>74.10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18.05</w:t>
            </w:r>
          </w:p>
        </w:tc>
        <w:tc>
          <w:tcPr>
            <w:tcW w:w="2551" w:type="dxa"/>
            <w:vAlign w:val="center"/>
          </w:tcPr>
          <w:p>
            <w:pPr>
              <w:pStyle w:val="12"/>
            </w:pPr>
            <w:r>
              <w:t>18.05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128.50</w:t>
            </w:r>
          </w:p>
        </w:tc>
        <w:tc>
          <w:tcPr>
            <w:tcW w:w="2551" w:type="dxa"/>
            <w:vAlign w:val="center"/>
          </w:tcPr>
          <w:p>
            <w:pPr>
              <w:pStyle w:val="12"/>
            </w:pPr>
            <w:r>
              <w:t>128.50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104.12</w:t>
            </w:r>
          </w:p>
        </w:tc>
        <w:tc>
          <w:tcPr>
            <w:tcW w:w="2551" w:type="dxa"/>
            <w:vAlign w:val="center"/>
          </w:tcPr>
          <w:p>
            <w:pPr>
              <w:pStyle w:val="12"/>
            </w:pPr>
            <w:r>
              <w:t>104.12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298.38</w:t>
            </w:r>
          </w:p>
        </w:tc>
        <w:tc>
          <w:tcPr>
            <w:tcW w:w="2551" w:type="dxa"/>
            <w:vAlign w:val="center"/>
          </w:tcPr>
          <w:p>
            <w:pPr>
              <w:pStyle w:val="12"/>
            </w:pPr>
          </w:p>
        </w:tc>
        <w:tc>
          <w:tcPr>
            <w:tcW w:w="2551" w:type="dxa"/>
            <w:vAlign w:val="center"/>
          </w:tcPr>
          <w:p>
            <w:pPr>
              <w:pStyle w:val="12"/>
            </w:pPr>
            <w:r>
              <w:t>298.38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106.35</w:t>
            </w:r>
          </w:p>
        </w:tc>
        <w:tc>
          <w:tcPr>
            <w:tcW w:w="2551" w:type="dxa"/>
            <w:vAlign w:val="center"/>
          </w:tcPr>
          <w:p>
            <w:pPr>
              <w:pStyle w:val="12"/>
            </w:pPr>
          </w:p>
        </w:tc>
        <w:tc>
          <w:tcPr>
            <w:tcW w:w="2551" w:type="dxa"/>
            <w:vAlign w:val="center"/>
          </w:tcPr>
          <w:p>
            <w:pPr>
              <w:pStyle w:val="12"/>
            </w:pPr>
            <w:r>
              <w:t>106.35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65.28</w:t>
            </w:r>
          </w:p>
        </w:tc>
        <w:tc>
          <w:tcPr>
            <w:tcW w:w="2551" w:type="dxa"/>
            <w:vAlign w:val="center"/>
          </w:tcPr>
          <w:p>
            <w:pPr>
              <w:pStyle w:val="12"/>
            </w:pPr>
          </w:p>
        </w:tc>
        <w:tc>
          <w:tcPr>
            <w:tcW w:w="2551" w:type="dxa"/>
            <w:vAlign w:val="center"/>
          </w:tcPr>
          <w:p>
            <w:pPr>
              <w:pStyle w:val="12"/>
            </w:pPr>
            <w:r>
              <w:t>65.28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9.60</w:t>
            </w:r>
          </w:p>
        </w:tc>
        <w:tc>
          <w:tcPr>
            <w:tcW w:w="2551" w:type="dxa"/>
            <w:vAlign w:val="center"/>
          </w:tcPr>
          <w:p>
            <w:pPr>
              <w:pStyle w:val="12"/>
            </w:pPr>
          </w:p>
        </w:tc>
        <w:tc>
          <w:tcPr>
            <w:tcW w:w="2551" w:type="dxa"/>
            <w:vAlign w:val="center"/>
          </w:tcPr>
          <w:p>
            <w:pPr>
              <w:pStyle w:val="12"/>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5.90</w:t>
            </w:r>
          </w:p>
        </w:tc>
        <w:tc>
          <w:tcPr>
            <w:tcW w:w="2551" w:type="dxa"/>
            <w:vAlign w:val="center"/>
          </w:tcPr>
          <w:p>
            <w:pPr>
              <w:pStyle w:val="12"/>
            </w:pPr>
          </w:p>
        </w:tc>
        <w:tc>
          <w:tcPr>
            <w:tcW w:w="2551" w:type="dxa"/>
            <w:vAlign w:val="center"/>
          </w:tcPr>
          <w:p>
            <w:pPr>
              <w:pStyle w:val="12"/>
            </w:pPr>
            <w:r>
              <w:t>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68.56</w:t>
            </w:r>
          </w:p>
        </w:tc>
        <w:tc>
          <w:tcPr>
            <w:tcW w:w="2551" w:type="dxa"/>
            <w:vAlign w:val="center"/>
          </w:tcPr>
          <w:p>
            <w:pPr>
              <w:pStyle w:val="12"/>
            </w:pPr>
          </w:p>
        </w:tc>
        <w:tc>
          <w:tcPr>
            <w:tcW w:w="2551" w:type="dxa"/>
            <w:vAlign w:val="center"/>
          </w:tcPr>
          <w:p>
            <w:pPr>
              <w:pStyle w:val="12"/>
            </w:pPr>
            <w:r>
              <w:t>68.56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1.86</w:t>
            </w:r>
          </w:p>
        </w:tc>
        <w:tc>
          <w:tcPr>
            <w:tcW w:w="2551" w:type="dxa"/>
            <w:vAlign w:val="center"/>
          </w:tcPr>
          <w:p>
            <w:pPr>
              <w:pStyle w:val="12"/>
            </w:pPr>
          </w:p>
        </w:tc>
        <w:tc>
          <w:tcPr>
            <w:tcW w:w="2551" w:type="dxa"/>
            <w:vAlign w:val="center"/>
          </w:tcPr>
          <w:p>
            <w:pPr>
              <w:pStyle w:val="12"/>
            </w:pPr>
            <w:r>
              <w:t>1.86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225.56</w:t>
            </w:r>
          </w:p>
        </w:tc>
        <w:tc>
          <w:tcPr>
            <w:tcW w:w="2551" w:type="dxa"/>
            <w:vAlign w:val="center"/>
          </w:tcPr>
          <w:p>
            <w:pPr>
              <w:pStyle w:val="12"/>
            </w:pPr>
            <w:r>
              <w:t>225.56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169.64</w:t>
            </w:r>
          </w:p>
        </w:tc>
        <w:tc>
          <w:tcPr>
            <w:tcW w:w="2551" w:type="dxa"/>
            <w:vAlign w:val="center"/>
          </w:tcPr>
          <w:p>
            <w:pPr>
              <w:pStyle w:val="12"/>
            </w:pPr>
            <w:r>
              <w:t>169.64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21.12</w:t>
            </w:r>
          </w:p>
        </w:tc>
        <w:tc>
          <w:tcPr>
            <w:tcW w:w="2551" w:type="dxa"/>
            <w:vAlign w:val="center"/>
          </w:tcPr>
          <w:p>
            <w:pPr>
              <w:pStyle w:val="12"/>
            </w:pPr>
            <w:r>
              <w:t>21.12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34.80</w:t>
            </w:r>
          </w:p>
        </w:tc>
        <w:tc>
          <w:tcPr>
            <w:tcW w:w="2551" w:type="dxa"/>
            <w:vAlign w:val="center"/>
          </w:tcPr>
          <w:p>
            <w:pPr>
              <w:pStyle w:val="12"/>
            </w:pPr>
            <w:r>
              <w:t>34.80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bookmarkStart w:id="20" w:name="_GoBack"/>
      <w:bookmarkEnd w:id="20"/>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5.90</w:t>
            </w:r>
          </w:p>
        </w:tc>
        <w:tc>
          <w:tcPr>
            <w:tcW w:w="2381" w:type="dxa"/>
            <w:vAlign w:val="center"/>
          </w:tcPr>
          <w:p>
            <w:pPr>
              <w:pStyle w:val="16"/>
            </w:pPr>
            <w:r>
              <w:t>5.90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5.90</w:t>
            </w:r>
          </w:p>
        </w:tc>
        <w:tc>
          <w:tcPr>
            <w:tcW w:w="2381" w:type="dxa"/>
            <w:vAlign w:val="center"/>
          </w:tcPr>
          <w:p>
            <w:pPr>
              <w:pStyle w:val="12"/>
            </w:pPr>
            <w:r>
              <w:t>5.90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5.90</w:t>
            </w:r>
          </w:p>
        </w:tc>
        <w:tc>
          <w:tcPr>
            <w:tcW w:w="2381" w:type="dxa"/>
            <w:vAlign w:val="center"/>
          </w:tcPr>
          <w:p>
            <w:pPr>
              <w:pStyle w:val="12"/>
            </w:pPr>
            <w:r>
              <w:t>5.90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长安区桃园镇人民政府2025年部门预算信息公开情况说明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长安区桃园镇人民政府2025年部门预算信息公开情况说明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按照《中华人民共和国预算法》、《地方预决算公开操作规程》和《关于进一步推进预算公开工作的实施意见》规定，现将长安区桃园镇人民政府2025年部门预算公开如下：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执行本级人民代表大会的决议和上级国家行政机关的决议、命令，发布决定和命令;执行本行政区域内的经济和社会发展计划，加强公共设施建设和管理，发展各项服务事业;加强城区规划、建设、管理和社区服务职能，建立和完善社会化服务体系，壮大集体经济，改善生态环境和生活环境。</w:t>
      </w:r>
    </w:p>
    <w:p>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（二）、依法管理镇财政，执行本级预决算；管理和发展经济、文化教育、科学技术、城管、土地、卫生、体育事业。</w:t>
      </w:r>
    </w:p>
    <w:p>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（三）、管理民政行政工作，发展社会福利事业，做好社会保障工作，办理兵役事项。推行计划生育，控制人口增长，保护妇女、儿童和老人的合法权益。</w:t>
      </w:r>
    </w:p>
    <w:p>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（四）、开展社会主义的民主与法制教育，协调管理公安、司法行政工作，加强社会治安综合治理，调解民事纠纷，维护社会秩序，保持稳定。</w:t>
      </w:r>
    </w:p>
    <w:p>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（五）、保护社会主义的全民所有财产和劳动群众集体所有的财产，保护公民个人所有的合法财产，保障公民的人身权力、民主权利和其他权利，保护各项经济组织的合法权益。</w:t>
      </w:r>
    </w:p>
    <w:p>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（六）、办理上级人民政府交办的其他事项。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长安区桃园镇人民政府本级</w:t>
            </w:r>
          </w:p>
        </w:tc>
        <w:tc>
          <w:tcPr>
            <w:tcW w:w="1843" w:type="dxa"/>
            <w:vAlign w:val="center"/>
          </w:tcPr>
          <w:p>
            <w:pPr>
              <w:pStyle w:val="14"/>
            </w:pPr>
            <w:r>
              <w:t>行政</w:t>
            </w:r>
          </w:p>
        </w:tc>
        <w:tc>
          <w:tcPr>
            <w:tcW w:w="2126" w:type="dxa"/>
            <w:vAlign w:val="center"/>
          </w:tcPr>
          <w:p>
            <w:pPr>
              <w:pStyle w:val="14"/>
            </w:pPr>
            <w:r>
              <w:t>股级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按照预算管理有关规定，目前部门预算的编制实行综合预算管理，即全部收入和支出都反映在预算中。长安区桃园镇人民政府机关及所属事业单位的收支包含在部门预算中。</w:t>
      </w:r>
    </w:p>
    <w:p>
      <w:pPr>
        <w:pStyle w:val="19"/>
      </w:pPr>
      <w:r>
        <w:t>1、收入说明</w:t>
      </w:r>
    </w:p>
    <w:p>
      <w:pPr>
        <w:pStyle w:val="19"/>
      </w:pPr>
      <w:r>
        <w:t>反映本部门当年全部收入。2025年预算收入2742.14万元，其中：一般公共预算收入2644.61万元，基金预算收入0.00万元，国有资本经营预算收入0.00万元，财政专户核拨收入0.00万元，单位资金收入0.00万元，上年结转结余97.52万元。</w:t>
      </w:r>
    </w:p>
    <w:p>
      <w:pPr>
        <w:pStyle w:val="19"/>
      </w:pPr>
      <w:r>
        <w:t>2、支出说明</w:t>
      </w:r>
    </w:p>
    <w:p>
      <w:pPr>
        <w:pStyle w:val="19"/>
      </w:pPr>
      <w:r>
        <w:t>收支预算总表支出栏、基本支出表、项目支出表按经济分类和支出功能分类科目编制，反映长安区桃园镇人民政府年度部门预算中支出预算的总体情况。2025年支出预算2742.14万元，其中基本支出2134.74万元，包括人员经费1821.35万元和日常公用经费313.38万元；项目支出607.40万元，主要为25年街镇工作经费291.87万元，25年薪酬制社工工资218万元。</w:t>
      </w:r>
    </w:p>
    <w:p>
      <w:pPr>
        <w:pStyle w:val="19"/>
      </w:pPr>
      <w:r>
        <w:t>3、比上年增减情况</w:t>
      </w:r>
    </w:p>
    <w:p>
      <w:pPr>
        <w:pStyle w:val="19"/>
        <w:rPr>
          <w:rFonts w:hint="eastAsia" w:eastAsia="方正仿宋_GBK"/>
          <w:lang w:eastAsia="zh-CN"/>
        </w:rPr>
      </w:pPr>
      <w:r>
        <w:t>2025年预算收支安排2742.14万元，较2024年预算减少41451.00万元，其中：基本支出增加66.16万元，主要为减少了城中村改造土地出让金项目支出减少41517.16万元，主要减少了城中村改造土地出让金</w:t>
      </w:r>
      <w:r>
        <w:rPr>
          <w:rFonts w:hint="eastAsia"/>
          <w:lang w:eastAsia="zh-CN"/>
        </w:rPr>
        <w:t>。</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日常公用经费313.38万元</w:t>
      </w:r>
      <w:r>
        <w:rPr>
          <w:rFonts w:hint="eastAsia" w:eastAsia="方正仿宋_GBK" w:cs="Times New Roman"/>
          <w:sz w:val="28"/>
          <w:szCs w:val="24"/>
          <w:lang w:val="en-US" w:eastAsia="zh-CN" w:bidi="ar-SA"/>
        </w:rPr>
        <w:t>，主要是：电费、办公用品的采购、维修费及机关运行的其他费用。</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numPr>
          <w:ilvl w:val="0"/>
          <w:numId w:val="0"/>
        </w:numPr>
        <w:spacing w:before="10" w:after="10" w:line="360" w:lineRule="auto"/>
        <w:ind w:left="640" w:leftChars="0" w:firstLine="840" w:firstLineChars="300"/>
        <w:jc w:val="left"/>
        <w:outlineLvl w:val="2"/>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年，我</w:t>
      </w:r>
      <w:r>
        <w:rPr>
          <w:rFonts w:hint="eastAsia" w:cs="Times New Roman"/>
          <w:color w:val="000000"/>
          <w:sz w:val="28"/>
          <w:lang w:eastAsia="zh-CN"/>
        </w:rPr>
        <w:t>单位</w:t>
      </w:r>
      <w:r>
        <w:rPr>
          <w:rFonts w:hint="eastAsia" w:ascii="Times New Roman" w:hAnsi="Times New Roman" w:eastAsia="方正仿宋_GBK" w:cs="Times New Roman"/>
          <w:color w:val="000000"/>
          <w:sz w:val="28"/>
        </w:rPr>
        <w:t>财政拨款“三公”经费预算安排</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万元，其中：公务用车购置及运维费</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万元（其中：公务用车购置费0万元，公务用车运行维护费</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万元)与上年持平，主要原因为公务用车购置及运维费</w:t>
      </w:r>
      <w:r>
        <w:rPr>
          <w:rFonts w:hint="eastAsia" w:ascii="Times New Roman" w:hAnsi="Times New Roman" w:eastAsia="方正仿宋_GBK" w:cs="Times New Roman"/>
          <w:color w:val="000000"/>
          <w:sz w:val="28"/>
          <w:lang w:eastAsia="zh-CN"/>
        </w:rPr>
        <w:t>与2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lang w:eastAsia="zh-CN"/>
        </w:rPr>
        <w:t>年相同维持</w:t>
      </w:r>
      <w:r>
        <w:rPr>
          <w:rFonts w:hint="eastAsia" w:ascii="Times New Roman" w:hAnsi="Times New Roman" w:eastAsia="方正仿宋_GBK" w:cs="Times New Roman"/>
          <w:color w:val="000000"/>
          <w:sz w:val="28"/>
        </w:rPr>
        <w:t>不变；因公出国（境）费0万元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与上年持平，主要原因为年初没有安排因公出国费；公务接待费0万元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与上年持平，主要原因为年初没有安</w:t>
      </w:r>
      <w:r>
        <w:rPr>
          <w:rFonts w:hint="eastAsia" w:ascii="Times New Roman" w:hAnsi="Times New Roman" w:eastAsia="方正仿宋_GBK" w:cs="Times New Roman"/>
          <w:color w:val="000000"/>
          <w:sz w:val="28"/>
          <w:lang w:eastAsia="zh-CN"/>
        </w:rPr>
        <w:t>排公务接待费</w:t>
      </w:r>
      <w:r>
        <w:rPr>
          <w:rFonts w:hint="eastAsia" w:ascii="Times New Roman" w:hAnsi="Times New Roman" w:eastAsia="方正仿宋_GBK" w:cs="Times New Roman"/>
          <w:color w:val="000000"/>
          <w:sz w:val="28"/>
        </w:rPr>
        <w:t>。</w:t>
      </w:r>
    </w:p>
    <w:p>
      <w:pPr>
        <w:numPr>
          <w:ilvl w:val="0"/>
          <w:numId w:val="0"/>
        </w:numPr>
        <w:spacing w:before="10" w:after="10" w:line="360" w:lineRule="auto"/>
        <w:ind w:left="640" w:leftChars="0" w:firstLine="280" w:firstLineChars="100"/>
        <w:jc w:val="left"/>
        <w:outlineLvl w:val="2"/>
        <w:rPr>
          <w:rFonts w:ascii="黑体" w:hAnsi="黑体" w:eastAsia="黑体" w:cs="黑体"/>
          <w:color w:val="000000"/>
          <w:sz w:val="32"/>
        </w:rPr>
      </w:pPr>
      <w:r>
        <w:rPr>
          <w:rFonts w:hint="eastAsia" w:eastAsia="方正仿宋_GBK" w:cs="Times New Roman"/>
          <w:color w:val="000000"/>
          <w:sz w:val="28"/>
          <w:lang w:val="en-US" w:eastAsia="zh-CN"/>
        </w:rPr>
        <w:t>2025年</w:t>
      </w:r>
      <w:r>
        <w:rPr>
          <w:rFonts w:hint="eastAsia" w:ascii="Times New Roman" w:hAnsi="Times New Roman" w:eastAsia="方正仿宋_GBK" w:cs="Times New Roman"/>
          <w:color w:val="000000"/>
          <w:sz w:val="28"/>
        </w:rPr>
        <w:t>“三公”经费预算安排</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较202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lang w:eastAsia="zh-CN"/>
        </w:rPr>
        <w:t>年</w:t>
      </w:r>
      <w:r>
        <w:rPr>
          <w:rFonts w:hint="eastAsia" w:ascii="Times New Roman" w:hAnsi="Times New Roman" w:eastAsia="方正仿宋_GBK" w:cs="Times New Roman"/>
          <w:color w:val="000000"/>
          <w:sz w:val="28"/>
        </w:rPr>
        <w:t>“三公”经费</w:t>
      </w:r>
      <w:r>
        <w:rPr>
          <w:rFonts w:hint="eastAsia" w:eastAsia="方正仿宋_GBK" w:cs="Times New Roman"/>
          <w:color w:val="000000"/>
          <w:sz w:val="28"/>
          <w:lang w:eastAsia="zh-CN"/>
        </w:rPr>
        <w:t>无增减变化，因</w:t>
      </w:r>
      <w:r>
        <w:rPr>
          <w:rFonts w:hint="eastAsia" w:eastAsia="方正仿宋_GBK" w:cs="Times New Roman"/>
          <w:color w:val="000000"/>
          <w:sz w:val="28"/>
          <w:lang w:val="en-US" w:eastAsia="zh-CN"/>
        </w:rPr>
        <w:t>25年无车辆变化，</w:t>
      </w:r>
      <w:r>
        <w:rPr>
          <w:rFonts w:hint="eastAsia" w:ascii="Times New Roman" w:hAnsi="Times New Roman" w:eastAsia="方正仿宋_GBK" w:cs="Times New Roman"/>
          <w:color w:val="000000"/>
          <w:sz w:val="28"/>
        </w:rPr>
        <w:t>公务用车购置及运维费安排</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“三公”经费</w:t>
      </w:r>
      <w:r>
        <w:rPr>
          <w:rFonts w:hint="eastAsia" w:ascii="Times New Roman" w:hAnsi="Times New Roman" w:eastAsia="方正仿宋_GBK" w:cs="Times New Roman"/>
          <w:color w:val="000000"/>
          <w:sz w:val="28"/>
          <w:lang w:eastAsia="zh-CN"/>
        </w:rPr>
        <w:t>较202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lang w:eastAsia="zh-CN"/>
        </w:rPr>
        <w:t>年</w:t>
      </w:r>
      <w:r>
        <w:rPr>
          <w:rFonts w:hint="eastAsia" w:eastAsia="方正仿宋_GBK" w:cs="Times New Roman"/>
          <w:color w:val="000000"/>
          <w:sz w:val="28"/>
          <w:lang w:eastAsia="zh-CN"/>
        </w:rPr>
        <w:t>无变动</w:t>
      </w:r>
      <w:r>
        <w:rPr>
          <w:rFonts w:hint="eastAsia" w:ascii="Times New Roman" w:hAnsi="Times New Roman" w:eastAsia="方正仿宋_GBK" w:cs="Times New Roman"/>
          <w:color w:val="000000"/>
          <w:sz w:val="28"/>
          <w:lang w:eastAsia="zh-CN"/>
        </w:rPr>
        <w:t>。</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桃园镇政府</w:t>
      </w:r>
    </w:p>
    <w:p>
      <w:pPr>
        <w:pStyle w:val="22"/>
      </w:pPr>
      <w:r>
        <w:t>2025年度工作绩效目标</w:t>
      </w:r>
    </w:p>
    <w:p>
      <w:pPr>
        <w:pStyle w:val="22"/>
      </w:pPr>
    </w:p>
    <w:p>
      <w:pPr>
        <w:pStyle w:val="22"/>
      </w:pPr>
      <w:r>
        <w:t>一、部门总体绩效目标</w:t>
      </w:r>
    </w:p>
    <w:p>
      <w:pPr>
        <w:pStyle w:val="22"/>
      </w:pPr>
      <w:r>
        <w:t>2023年，我镇总体发展规划目标是：在区委、区政府的正确领导下，紧紧围绕“建设经济强区、幸福长安”的奋斗目标，以发展乡镇经济和保持社会稳定为重点，以关注民生、改善民生为出发点和落脚点，扎实有序推进各项工作，全面完成了各项工作任务。具体目标是：以从严治党为抓手，扎实推进党建各项工作；以项目建设为增长点，推动乡镇经济可持续发展；以创建大都市为契机，辖区环境稳步提升；以化解矛盾隐患</w:t>
      </w:r>
      <w:r>
        <w:rPr>
          <w:rFonts w:hint="eastAsia"/>
          <w:lang w:eastAsia="zh-CN"/>
        </w:rPr>
        <w:t>为己任</w:t>
      </w:r>
      <w:r>
        <w:t>，维稳工作不断加强；以专项整治为契机，扎实推进党风廉政建设。</w:t>
      </w:r>
    </w:p>
    <w:p>
      <w:pPr>
        <w:pStyle w:val="22"/>
      </w:pPr>
      <w:r>
        <w:t>二、部门分项绩效目标</w:t>
      </w:r>
    </w:p>
    <w:p>
      <w:pPr>
        <w:pStyle w:val="22"/>
      </w:pPr>
      <w:r>
        <w:t>（一）、财政财务管理工作进一步规范</w:t>
      </w:r>
    </w:p>
    <w:p>
      <w:pPr>
        <w:pStyle w:val="22"/>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pPr>
        <w:pStyle w:val="22"/>
      </w:pPr>
      <w:r>
        <w:t>绩效指标：预算、决算公开在法定期限内公开率100%，全年财政支出达到95%以上，结余结转率低于5%。</w:t>
      </w:r>
    </w:p>
    <w:p>
      <w:pPr>
        <w:pStyle w:val="22"/>
      </w:pPr>
      <w:r>
        <w:t>（二）、保障和改善民生，改善居民的居住环境，做好社区建设工作</w:t>
      </w:r>
    </w:p>
    <w:p>
      <w:pPr>
        <w:pStyle w:val="22"/>
      </w:pPr>
      <w:r>
        <w:t>绩效目标：根据区委、区政府</w:t>
      </w:r>
      <w:r>
        <w:rPr>
          <w:rFonts w:hint="eastAsia"/>
          <w:lang w:eastAsia="zh-CN"/>
        </w:rPr>
        <w:t>安排部署</w:t>
      </w:r>
      <w:r>
        <w:t>，将文明城创建工作和“六进社区”工作作为工作重点，在圆满完成创城任务后进一步深化落实“六进社区活动”。</w:t>
      </w:r>
    </w:p>
    <w:p>
      <w:pPr>
        <w:pStyle w:val="22"/>
      </w:pPr>
      <w:r>
        <w:t>绩效指标：做到为民办十件好事，改善辖区3个老旧小区的居住环境，居民的幸福感指数提升，群众满意度达到80%以上。</w:t>
      </w:r>
    </w:p>
    <w:p>
      <w:pPr>
        <w:pStyle w:val="22"/>
      </w:pPr>
      <w:r>
        <w:t>（三）、营造和谐安定的辖区环境，稳步推进社会公共服务事业。</w:t>
      </w:r>
    </w:p>
    <w:p>
      <w:pPr>
        <w:pStyle w:val="22"/>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pPr>
        <w:pStyle w:val="22"/>
      </w:pPr>
      <w:r>
        <w:t>绩效指标：安全生产宣传教育和培训工作每季度召开一次，一年不少于4次，健全多元化矛盾纠纷化解机制，化解率达到70%，受众群体满意度达到80%。</w:t>
      </w:r>
    </w:p>
    <w:p>
      <w:pPr>
        <w:pStyle w:val="22"/>
      </w:pPr>
      <w:r>
        <w:t>三、工作保障措施</w:t>
      </w:r>
    </w:p>
    <w:p>
      <w:pPr>
        <w:pStyle w:val="22"/>
      </w:pPr>
      <w:r>
        <w:t>（一）、加强宣传培训力度，</w:t>
      </w:r>
    </w:p>
    <w:p>
      <w:pPr>
        <w:pStyle w:val="22"/>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pPr>
        <w:pStyle w:val="22"/>
      </w:pPr>
      <w:r>
        <w:t>（二）、完善财务制度、规范固定资产管理</w:t>
      </w:r>
    </w:p>
    <w:p>
      <w:pPr>
        <w:pStyle w:val="22"/>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pPr>
        <w:pStyle w:val="22"/>
      </w:pPr>
      <w:r>
        <w:t>（三）、重点加强财务支出管理</w:t>
      </w:r>
    </w:p>
    <w:p>
      <w:pPr>
        <w:pStyle w:val="22"/>
      </w:pPr>
      <w:r>
        <w:t>通过优化支出结构、编细编实预算、加快履行政府采购手续、尽快启动项目、及时支付资金、3月底前细化代编预算，按规定及时下达资金等多种措施，确保支出进度达标。</w:t>
      </w:r>
    </w:p>
    <w:p>
      <w:pPr>
        <w:pStyle w:val="22"/>
      </w:pPr>
      <w:r>
        <w:t>（四）、建立内部监督机制、重点加强绩效运行监控</w:t>
      </w:r>
    </w:p>
    <w:p>
      <w:pPr>
        <w:pStyle w:val="22"/>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pPr>
        <w:pStyle w:val="22"/>
      </w:pPr>
      <w:r>
        <w:t>（五）、做好绩效自评工作</w:t>
      </w:r>
    </w:p>
    <w:p>
      <w:pPr>
        <w:pStyle w:val="22"/>
      </w:pPr>
      <w:r>
        <w:t>按要求开展上年度部门预算绩效自评和重点评价工作，对评价中发现的问题及时整改，调整优化支出结构，提高财政资金支出使用效益。</w:t>
      </w:r>
    </w:p>
    <w:p>
      <w:pPr>
        <w:pStyle w:val="22"/>
      </w:pPr>
      <w:r>
        <w:t>（六）、扎实推进民生工程，努力建设和谐的环境。</w:t>
      </w:r>
    </w:p>
    <w:p>
      <w:pPr>
        <w:pStyle w:val="22"/>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桃园镇分项绩效目标</w:t>
      </w:r>
    </w:p>
    <w:p>
      <w:pPr>
        <w:pStyle w:val="23"/>
      </w:pPr>
      <w:r>
        <w:t>（一）、财政财务管理工作进一步规范</w:t>
      </w:r>
    </w:p>
    <w:p>
      <w:pPr>
        <w:pStyle w:val="23"/>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pPr>
        <w:pStyle w:val="23"/>
      </w:pPr>
      <w:r>
        <w:t>绩效指标：预算、决算公开在法定期限内公开率100%，全年财政支出达到95%以上，结余结转率低于5%。</w:t>
      </w:r>
    </w:p>
    <w:p>
      <w:pPr>
        <w:pStyle w:val="23"/>
      </w:pPr>
      <w:r>
        <w:t>（二）、保障和改善民生，改善居民的居住环境，做好社区建设工作</w:t>
      </w:r>
    </w:p>
    <w:p>
      <w:pPr>
        <w:pStyle w:val="23"/>
      </w:pPr>
      <w:r>
        <w:t>绩效目标：根据区委、区政府</w:t>
      </w:r>
      <w:r>
        <w:rPr>
          <w:rFonts w:hint="eastAsia"/>
          <w:lang w:eastAsia="zh-CN"/>
        </w:rPr>
        <w:t>安排部署</w:t>
      </w:r>
      <w:r>
        <w:t>，将文明城创建工作和“六进社区”工作作为工作重点，在圆满完成创城任务后进一步深化落实“六进社区活动”。</w:t>
      </w:r>
    </w:p>
    <w:p>
      <w:pPr>
        <w:pStyle w:val="23"/>
      </w:pPr>
      <w:r>
        <w:t>绩效指标：做到为民办十件好事，改善辖区3个老旧小区的居住环境，居民的幸福感指数提升，群众满意度达到80%以上。</w:t>
      </w:r>
    </w:p>
    <w:p>
      <w:pPr>
        <w:pStyle w:val="23"/>
      </w:pPr>
      <w:r>
        <w:t>（三）、营造和谐安定的辖区环境，稳步推进社会公共服务事业。</w:t>
      </w:r>
    </w:p>
    <w:p>
      <w:pPr>
        <w:pStyle w:val="23"/>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pPr>
        <w:pStyle w:val="23"/>
      </w:pPr>
      <w:r>
        <w:t>绩效指标：安全生产宣传教育和培训工作每季度召开一次，一年不少于4次，健全多元化矛盾纠纷化解机制，化解率达到70%，受众群体满意度达到80%。</w:t>
      </w:r>
    </w:p>
    <w:p>
      <w:pPr>
        <w:pStyle w:val="23"/>
      </w:pPr>
      <w:r>
        <w:t>三、工作保障措施</w:t>
      </w:r>
    </w:p>
    <w:p>
      <w:pPr>
        <w:pStyle w:val="23"/>
      </w:pPr>
      <w:r>
        <w:t>（一）、加强宣传培训力度，</w:t>
      </w:r>
    </w:p>
    <w:p>
      <w:pPr>
        <w:pStyle w:val="23"/>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pPr>
        <w:pStyle w:val="23"/>
      </w:pPr>
      <w:r>
        <w:t>（二）、完善财务制度、规范固定资产管理</w:t>
      </w:r>
    </w:p>
    <w:p>
      <w:pPr>
        <w:pStyle w:val="23"/>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pPr>
        <w:pStyle w:val="23"/>
      </w:pPr>
      <w:r>
        <w:t>（三）、重点加强财务支出管理</w:t>
      </w:r>
    </w:p>
    <w:p>
      <w:pPr>
        <w:pStyle w:val="23"/>
      </w:pPr>
      <w:r>
        <w:t>通过优化支出结构、编细编实预算、加快履行政府采购手续、尽快启动项目、及时支付资金、3月底前细化代编预算，按规定及时下达资金等多种措施，确保支出进度达标。</w:t>
      </w:r>
    </w:p>
    <w:p>
      <w:pPr>
        <w:pStyle w:val="23"/>
      </w:pPr>
      <w:r>
        <w:t>（四）、建立内部监督机制、重点加强绩效运行监控</w:t>
      </w:r>
    </w:p>
    <w:p>
      <w:pPr>
        <w:pStyle w:val="23"/>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pPr>
        <w:pStyle w:val="23"/>
      </w:pPr>
      <w:r>
        <w:t>（五）、做好绩效自评工作</w:t>
      </w:r>
    </w:p>
    <w:p>
      <w:pPr>
        <w:pStyle w:val="23"/>
      </w:pPr>
      <w:r>
        <w:t>按要求开展上年度部门预算绩效自评和重点评价工作，对评价中发现的问题及时整改，调整优化支出结构，提高财政资金支出使用效益。</w:t>
      </w:r>
    </w:p>
    <w:p>
      <w:pPr>
        <w:pStyle w:val="23"/>
      </w:pPr>
      <w:r>
        <w:t>（六）、扎实推进民生工程，努力建设和谐的环境。</w:t>
      </w:r>
    </w:p>
    <w:p>
      <w:pPr>
        <w:pStyle w:val="23"/>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桃园镇政府完成绩效目标的保障措施</w:t>
      </w:r>
    </w:p>
    <w:p>
      <w:pPr>
        <w:pStyle w:val="24"/>
      </w:pPr>
      <w:r>
        <w:t>（一）、加强宣传培训力度，</w:t>
      </w:r>
    </w:p>
    <w:p>
      <w:pPr>
        <w:pStyle w:val="24"/>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pPr>
        <w:pStyle w:val="24"/>
      </w:pPr>
      <w:r>
        <w:t>（二）、完善财务制度、规范固定资产管理</w:t>
      </w:r>
    </w:p>
    <w:p>
      <w:pPr>
        <w:pStyle w:val="24"/>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pPr>
        <w:pStyle w:val="24"/>
      </w:pPr>
      <w:r>
        <w:t>（三）、重点加强财务支出管理</w:t>
      </w:r>
    </w:p>
    <w:p>
      <w:pPr>
        <w:pStyle w:val="24"/>
      </w:pPr>
      <w:r>
        <w:t>通过优化支出结构、编细编实预算、加快履行政府采购手续、尽快启动项目、及时支付资金、3月底前细化代编预算，按规定及时下达资金等多种措施，确保支出进度达标。</w:t>
      </w:r>
    </w:p>
    <w:p>
      <w:pPr>
        <w:pStyle w:val="24"/>
      </w:pPr>
      <w:r>
        <w:t>（四）、建立内部监督机制、重点加强绩效运行监控</w:t>
      </w:r>
    </w:p>
    <w:p>
      <w:pPr>
        <w:pStyle w:val="24"/>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pPr>
        <w:pStyle w:val="24"/>
      </w:pPr>
      <w:r>
        <w:t>（五）、做好绩效自评工作</w:t>
      </w:r>
    </w:p>
    <w:p>
      <w:pPr>
        <w:pStyle w:val="24"/>
      </w:pPr>
      <w:r>
        <w:t>按要求开展上年度部门预算绩效自评和重点评价工作，对评价中发现的问题及时整改，调整优化支出结构，提高财政资金支出使用效益。</w:t>
      </w:r>
    </w:p>
    <w:p>
      <w:pPr>
        <w:pStyle w:val="24"/>
      </w:pPr>
      <w:r>
        <w:t>（六）、扎实推进民生工程，努力建设和谐的环境。</w:t>
      </w:r>
    </w:p>
    <w:p>
      <w:pPr>
        <w:pStyle w:val="24"/>
        <w:sectPr>
          <w:pgSz w:w="16840" w:h="11900" w:orient="landscape"/>
          <w:pgMar w:top="1361" w:right="1020" w:bottom="1361" w:left="1020" w:header="720" w:footer="720" w:gutter="0"/>
          <w:cols w:space="720" w:num="1"/>
        </w:sectPr>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1、25年街镇工作经费绩效目标表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13010225P00075510467W</w:t>
            </w:r>
          </w:p>
        </w:tc>
        <w:tc>
          <w:tcPr>
            <w:tcW w:w="2835" w:type="dxa"/>
            <w:vAlign w:val="center"/>
          </w:tcPr>
          <w:p>
            <w:pPr>
              <w:pStyle w:val="11"/>
            </w:pPr>
            <w:r>
              <w:t>项目名称</w:t>
            </w:r>
          </w:p>
        </w:tc>
        <w:tc>
          <w:tcPr>
            <w:tcW w:w="6095" w:type="dxa"/>
            <w:gridSpan w:val="3"/>
            <w:vAlign w:val="center"/>
          </w:tcPr>
          <w:p>
            <w:pPr>
              <w:pStyle w:val="13"/>
            </w:pPr>
            <w:r>
              <w:t>25年街镇工作经费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291.88</w:t>
            </w:r>
          </w:p>
        </w:tc>
        <w:tc>
          <w:tcPr>
            <w:tcW w:w="2835" w:type="dxa"/>
            <w:vAlign w:val="center"/>
          </w:tcPr>
          <w:p>
            <w:pPr>
              <w:pStyle w:val="11"/>
            </w:pPr>
            <w:r>
              <w:t>其中：财政    资金</w:t>
            </w:r>
          </w:p>
        </w:tc>
        <w:tc>
          <w:tcPr>
            <w:tcW w:w="2551" w:type="dxa"/>
            <w:vAlign w:val="center"/>
          </w:tcPr>
          <w:p>
            <w:pPr>
              <w:pStyle w:val="13"/>
            </w:pPr>
            <w:r>
              <w:t>291.88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25年街镇工作经费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1.25年街镇工作经费按时间进度完成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社会效益增加值</w:t>
            </w:r>
          </w:p>
        </w:tc>
        <w:tc>
          <w:tcPr>
            <w:tcW w:w="5386" w:type="dxa"/>
            <w:vAlign w:val="center"/>
          </w:tcPr>
          <w:p>
            <w:pPr>
              <w:pStyle w:val="13"/>
            </w:pPr>
            <w:r>
              <w:t>通过项目开展对社会效益增加值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≥9090</w:t>
            </w:r>
          </w:p>
        </w:tc>
        <w:tc>
          <w:tcPr>
            <w:tcW w:w="1276" w:type="dxa"/>
            <w:vAlign w:val="center"/>
          </w:tcPr>
          <w:p>
            <w:pPr>
              <w:pStyle w:val="13"/>
            </w:pPr>
            <w:r>
              <w:t>历年标准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2、25年薪酬制社工工资绩效目标表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13010225P00075510468G</w:t>
            </w:r>
          </w:p>
        </w:tc>
        <w:tc>
          <w:tcPr>
            <w:tcW w:w="2835" w:type="dxa"/>
            <w:vAlign w:val="center"/>
          </w:tcPr>
          <w:p>
            <w:pPr>
              <w:pStyle w:val="11"/>
            </w:pPr>
            <w:r>
              <w:t>项目名称</w:t>
            </w:r>
          </w:p>
        </w:tc>
        <w:tc>
          <w:tcPr>
            <w:tcW w:w="6095" w:type="dxa"/>
            <w:gridSpan w:val="3"/>
            <w:vAlign w:val="center"/>
          </w:tcPr>
          <w:p>
            <w:pPr>
              <w:pStyle w:val="13"/>
            </w:pPr>
            <w:r>
              <w:t>25年薪酬制社工工资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218.00</w:t>
            </w:r>
          </w:p>
        </w:tc>
        <w:tc>
          <w:tcPr>
            <w:tcW w:w="2835" w:type="dxa"/>
            <w:vAlign w:val="center"/>
          </w:tcPr>
          <w:p>
            <w:pPr>
              <w:pStyle w:val="11"/>
            </w:pPr>
            <w:r>
              <w:t>其中：财政    资金</w:t>
            </w:r>
          </w:p>
        </w:tc>
        <w:tc>
          <w:tcPr>
            <w:tcW w:w="2551" w:type="dxa"/>
            <w:vAlign w:val="center"/>
          </w:tcPr>
          <w:p>
            <w:pPr>
              <w:pStyle w:val="13"/>
            </w:pPr>
            <w:r>
              <w:t>218.00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25年薪酬制社工工资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1.25年薪酬制社工工资按时间进度完成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社会效益增加值</w:t>
            </w:r>
          </w:p>
        </w:tc>
        <w:tc>
          <w:tcPr>
            <w:tcW w:w="5386" w:type="dxa"/>
            <w:vAlign w:val="center"/>
          </w:tcPr>
          <w:p>
            <w:pPr>
              <w:pStyle w:val="13"/>
            </w:pPr>
            <w:r>
              <w:t>通过项目开展对社会效益增加值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≥9090</w:t>
            </w:r>
          </w:p>
        </w:tc>
        <w:tc>
          <w:tcPr>
            <w:tcW w:w="1276" w:type="dxa"/>
            <w:vAlign w:val="center"/>
          </w:tcPr>
          <w:p>
            <w:pPr>
              <w:pStyle w:val="13"/>
            </w:pPr>
            <w:r>
              <w:t>历年标准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3、2024年党建惠民项目资金绩效目标表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13010224P00067812257X</w:t>
            </w:r>
          </w:p>
        </w:tc>
        <w:tc>
          <w:tcPr>
            <w:tcW w:w="2835" w:type="dxa"/>
            <w:vAlign w:val="center"/>
          </w:tcPr>
          <w:p>
            <w:pPr>
              <w:pStyle w:val="11"/>
            </w:pPr>
            <w:r>
              <w:t>项目名称</w:t>
            </w:r>
          </w:p>
        </w:tc>
        <w:tc>
          <w:tcPr>
            <w:tcW w:w="6095" w:type="dxa"/>
            <w:gridSpan w:val="3"/>
            <w:vAlign w:val="center"/>
          </w:tcPr>
          <w:p>
            <w:pPr>
              <w:pStyle w:val="13"/>
            </w:pPr>
            <w:r>
              <w:t>2024年党建惠民项目资金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97.52</w:t>
            </w:r>
          </w:p>
        </w:tc>
        <w:tc>
          <w:tcPr>
            <w:tcW w:w="2835" w:type="dxa"/>
            <w:vAlign w:val="center"/>
          </w:tcPr>
          <w:p>
            <w:pPr>
              <w:pStyle w:val="11"/>
            </w:pPr>
            <w:r>
              <w:t>其中：财政    资金</w:t>
            </w:r>
          </w:p>
        </w:tc>
        <w:tc>
          <w:tcPr>
            <w:tcW w:w="2551" w:type="dxa"/>
            <w:vAlign w:val="center"/>
          </w:tcPr>
          <w:p>
            <w:pPr>
              <w:pStyle w:val="13"/>
            </w:pPr>
            <w:r>
              <w:t>97.52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24年惠民项目资金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0.01</w:t>
            </w:r>
          </w:p>
        </w:tc>
        <w:tc>
          <w:tcPr>
            <w:tcW w:w="2551" w:type="dxa"/>
            <w:vAlign w:val="center"/>
          </w:tcPr>
          <w:p>
            <w:pPr>
              <w:pStyle w:val="14"/>
            </w:pPr>
            <w:r>
              <w:t>0.01</w:t>
            </w:r>
          </w:p>
        </w:tc>
        <w:tc>
          <w:tcPr>
            <w:tcW w:w="3544" w:type="dxa"/>
            <w:gridSpan w:val="2"/>
            <w:vAlign w:val="center"/>
          </w:tcPr>
          <w:p>
            <w:pPr>
              <w:pStyle w:val="14"/>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568长安区桃园镇人民政府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95.50</w:t>
            </w:r>
          </w:p>
        </w:tc>
        <w:tc>
          <w:tcPr>
            <w:tcW w:w="964" w:type="dxa"/>
            <w:vAlign w:val="center"/>
          </w:tcPr>
          <w:p>
            <w:pPr>
              <w:pStyle w:val="16"/>
            </w:pPr>
            <w:r>
              <w:t>95.50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长安区桃园镇人民政府本级小计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95.50</w:t>
            </w:r>
          </w:p>
        </w:tc>
        <w:tc>
          <w:tcPr>
            <w:tcW w:w="964" w:type="dxa"/>
            <w:vAlign w:val="center"/>
          </w:tcPr>
          <w:p>
            <w:pPr>
              <w:pStyle w:val="16"/>
            </w:pPr>
            <w:r>
              <w:t>95.50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公用项目1</w:t>
            </w:r>
          </w:p>
        </w:tc>
        <w:tc>
          <w:tcPr>
            <w:tcW w:w="964" w:type="dxa"/>
            <w:vAlign w:val="center"/>
          </w:tcPr>
          <w:p>
            <w:pPr>
              <w:pStyle w:val="12"/>
            </w:pPr>
            <w:r>
              <w:t>143.99</w:t>
            </w:r>
          </w:p>
        </w:tc>
        <w:tc>
          <w:tcPr>
            <w:tcW w:w="1134" w:type="dxa"/>
            <w:vAlign w:val="center"/>
          </w:tcPr>
          <w:p>
            <w:pPr>
              <w:pStyle w:val="13"/>
            </w:pPr>
            <w:r>
              <w:t>办公用房施工</w:t>
            </w:r>
          </w:p>
        </w:tc>
        <w:tc>
          <w:tcPr>
            <w:tcW w:w="1134" w:type="dxa"/>
            <w:vAlign w:val="center"/>
          </w:tcPr>
          <w:p>
            <w:pPr>
              <w:pStyle w:val="13"/>
            </w:pPr>
            <w:r>
              <w:t>B01010000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公用项目1</w:t>
            </w:r>
          </w:p>
        </w:tc>
        <w:tc>
          <w:tcPr>
            <w:tcW w:w="964" w:type="dxa"/>
            <w:vAlign w:val="center"/>
          </w:tcPr>
          <w:p>
            <w:pPr>
              <w:pStyle w:val="12"/>
            </w:pPr>
            <w:r>
              <w:t>143.99</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1.00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其他计算机</w:t>
            </w:r>
          </w:p>
        </w:tc>
        <w:tc>
          <w:tcPr>
            <w:tcW w:w="1134" w:type="dxa"/>
            <w:vAlign w:val="center"/>
          </w:tcPr>
          <w:p>
            <w:pPr>
              <w:pStyle w:val="13"/>
            </w:pPr>
            <w:r>
              <w:t>A02010199</w:t>
            </w:r>
          </w:p>
        </w:tc>
        <w:tc>
          <w:tcPr>
            <w:tcW w:w="709" w:type="dxa"/>
            <w:vAlign w:val="center"/>
          </w:tcPr>
          <w:p>
            <w:pPr>
              <w:pStyle w:val="14"/>
            </w:pPr>
            <w:r>
              <w:t>台</w:t>
            </w:r>
          </w:p>
        </w:tc>
        <w:tc>
          <w:tcPr>
            <w:tcW w:w="850" w:type="dxa"/>
            <w:vAlign w:val="center"/>
          </w:tcPr>
          <w:p>
            <w:pPr>
              <w:pStyle w:val="12"/>
            </w:pPr>
            <w:r>
              <w:t>15</w:t>
            </w:r>
          </w:p>
        </w:tc>
        <w:tc>
          <w:tcPr>
            <w:tcW w:w="850" w:type="dxa"/>
            <w:vAlign w:val="center"/>
          </w:tcPr>
          <w:p>
            <w:pPr>
              <w:pStyle w:val="12"/>
            </w:pPr>
            <w:r>
              <w:t>0.40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0.01</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其他打印机</w:t>
            </w:r>
          </w:p>
        </w:tc>
        <w:tc>
          <w:tcPr>
            <w:tcW w:w="1134" w:type="dxa"/>
            <w:vAlign w:val="center"/>
          </w:tcPr>
          <w:p>
            <w:pPr>
              <w:pStyle w:val="13"/>
            </w:pPr>
            <w:r>
              <w:t>A02021099</w:t>
            </w:r>
          </w:p>
        </w:tc>
        <w:tc>
          <w:tcPr>
            <w:tcW w:w="709" w:type="dxa"/>
            <w:vAlign w:val="center"/>
          </w:tcPr>
          <w:p>
            <w:pPr>
              <w:pStyle w:val="14"/>
            </w:pPr>
            <w:r>
              <w:t>台</w:t>
            </w:r>
          </w:p>
        </w:tc>
        <w:tc>
          <w:tcPr>
            <w:tcW w:w="850" w:type="dxa"/>
            <w:vAlign w:val="center"/>
          </w:tcPr>
          <w:p>
            <w:pPr>
              <w:pStyle w:val="12"/>
            </w:pPr>
            <w:r>
              <w:t>15</w:t>
            </w:r>
          </w:p>
        </w:tc>
        <w:tc>
          <w:tcPr>
            <w:tcW w:w="850" w:type="dxa"/>
            <w:vAlign w:val="center"/>
          </w:tcPr>
          <w:p>
            <w:pPr>
              <w:pStyle w:val="12"/>
            </w:pPr>
            <w:r>
              <w:t>0.20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其他会计机械</w:t>
            </w:r>
          </w:p>
        </w:tc>
        <w:tc>
          <w:tcPr>
            <w:tcW w:w="1134" w:type="dxa"/>
            <w:vAlign w:val="center"/>
          </w:tcPr>
          <w:p>
            <w:pPr>
              <w:pStyle w:val="13"/>
            </w:pPr>
            <w:r>
              <w:t>A02021499</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0.03</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0.02</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其他生活用电器</w:t>
            </w:r>
          </w:p>
        </w:tc>
        <w:tc>
          <w:tcPr>
            <w:tcW w:w="1134" w:type="dxa"/>
            <w:vAlign w:val="center"/>
          </w:tcPr>
          <w:p>
            <w:pPr>
              <w:pStyle w:val="13"/>
            </w:pPr>
            <w:r>
              <w:t>A02061899</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0.20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其他台、桌类</w:t>
            </w:r>
          </w:p>
        </w:tc>
        <w:tc>
          <w:tcPr>
            <w:tcW w:w="1134" w:type="dxa"/>
            <w:vAlign w:val="center"/>
          </w:tcPr>
          <w:p>
            <w:pPr>
              <w:pStyle w:val="13"/>
            </w:pPr>
            <w:r>
              <w:t>A05010299</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0.03</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其他椅凳类</w:t>
            </w:r>
          </w:p>
        </w:tc>
        <w:tc>
          <w:tcPr>
            <w:tcW w:w="1134" w:type="dxa"/>
            <w:vAlign w:val="center"/>
          </w:tcPr>
          <w:p>
            <w:pPr>
              <w:pStyle w:val="13"/>
            </w:pPr>
            <w:r>
              <w:t>A05010399</w:t>
            </w:r>
          </w:p>
        </w:tc>
        <w:tc>
          <w:tcPr>
            <w:tcW w:w="709" w:type="dxa"/>
            <w:vAlign w:val="center"/>
          </w:tcPr>
          <w:p>
            <w:pPr>
              <w:pStyle w:val="14"/>
            </w:pPr>
            <w:r>
              <w:t>把</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其他柜类</w:t>
            </w:r>
          </w:p>
        </w:tc>
        <w:tc>
          <w:tcPr>
            <w:tcW w:w="1134" w:type="dxa"/>
            <w:vAlign w:val="center"/>
          </w:tcPr>
          <w:p>
            <w:pPr>
              <w:pStyle w:val="13"/>
            </w:pPr>
            <w:r>
              <w:t>A05010599</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0.04</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0.05</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其他墨、颜料</w:t>
            </w:r>
          </w:p>
        </w:tc>
        <w:tc>
          <w:tcPr>
            <w:tcW w:w="1134" w:type="dxa"/>
            <w:vAlign w:val="center"/>
          </w:tcPr>
          <w:p>
            <w:pPr>
              <w:pStyle w:val="13"/>
            </w:pPr>
            <w:r>
              <w:t>A05040399</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0.02</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公用项目2</w:t>
            </w:r>
          </w:p>
        </w:tc>
        <w:tc>
          <w:tcPr>
            <w:tcW w:w="964" w:type="dxa"/>
            <w:vAlign w:val="center"/>
          </w:tcPr>
          <w:p>
            <w:pPr>
              <w:pStyle w:val="12"/>
            </w:pPr>
            <w:r>
              <w:t>169.40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个</w:t>
            </w:r>
          </w:p>
        </w:tc>
        <w:tc>
          <w:tcPr>
            <w:tcW w:w="850" w:type="dxa"/>
            <w:vAlign w:val="center"/>
          </w:tcPr>
          <w:p>
            <w:pPr>
              <w:pStyle w:val="12"/>
            </w:pPr>
            <w:r>
              <w:t>15</w:t>
            </w:r>
          </w:p>
        </w:tc>
        <w:tc>
          <w:tcPr>
            <w:tcW w:w="850" w:type="dxa"/>
            <w:vAlign w:val="center"/>
          </w:tcPr>
          <w:p>
            <w:pPr>
              <w:pStyle w:val="12"/>
            </w:pPr>
            <w:r>
              <w:t>0.04</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25年街镇工作经费</w:t>
            </w:r>
          </w:p>
        </w:tc>
        <w:tc>
          <w:tcPr>
            <w:tcW w:w="964" w:type="dxa"/>
            <w:vAlign w:val="center"/>
          </w:tcPr>
          <w:p>
            <w:pPr>
              <w:pStyle w:val="12"/>
            </w:pPr>
            <w:r>
              <w:t>291.88</w:t>
            </w:r>
          </w:p>
        </w:tc>
        <w:tc>
          <w:tcPr>
            <w:tcW w:w="1134" w:type="dxa"/>
            <w:vAlign w:val="center"/>
          </w:tcPr>
          <w:p>
            <w:pPr>
              <w:pStyle w:val="13"/>
            </w:pPr>
            <w:r>
              <w:t>其他计算机</w:t>
            </w:r>
          </w:p>
        </w:tc>
        <w:tc>
          <w:tcPr>
            <w:tcW w:w="1134" w:type="dxa"/>
            <w:vAlign w:val="center"/>
          </w:tcPr>
          <w:p>
            <w:pPr>
              <w:pStyle w:val="13"/>
            </w:pPr>
            <w:r>
              <w:t>A02010199</w:t>
            </w:r>
          </w:p>
        </w:tc>
        <w:tc>
          <w:tcPr>
            <w:tcW w:w="709" w:type="dxa"/>
            <w:vAlign w:val="center"/>
          </w:tcPr>
          <w:p>
            <w:pPr>
              <w:pStyle w:val="14"/>
            </w:pPr>
            <w:r>
              <w:t>台</w:t>
            </w:r>
          </w:p>
        </w:tc>
        <w:tc>
          <w:tcPr>
            <w:tcW w:w="850" w:type="dxa"/>
            <w:vAlign w:val="center"/>
          </w:tcPr>
          <w:p>
            <w:pPr>
              <w:pStyle w:val="12"/>
            </w:pPr>
            <w:r>
              <w:t>20</w:t>
            </w:r>
          </w:p>
        </w:tc>
        <w:tc>
          <w:tcPr>
            <w:tcW w:w="850" w:type="dxa"/>
            <w:vAlign w:val="center"/>
          </w:tcPr>
          <w:p>
            <w:pPr>
              <w:pStyle w:val="12"/>
            </w:pPr>
            <w:r>
              <w:t>0.50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25年街镇工作经费</w:t>
            </w:r>
          </w:p>
        </w:tc>
        <w:tc>
          <w:tcPr>
            <w:tcW w:w="964" w:type="dxa"/>
            <w:vAlign w:val="center"/>
          </w:tcPr>
          <w:p>
            <w:pPr>
              <w:pStyle w:val="12"/>
            </w:pPr>
            <w:r>
              <w:t>291.88</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30</w:t>
            </w:r>
          </w:p>
        </w:tc>
        <w:tc>
          <w:tcPr>
            <w:tcW w:w="850" w:type="dxa"/>
            <w:vAlign w:val="center"/>
          </w:tcPr>
          <w:p>
            <w:pPr>
              <w:pStyle w:val="12"/>
            </w:pPr>
            <w:r>
              <w:t>0.10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25年街镇工作经费</w:t>
            </w:r>
          </w:p>
        </w:tc>
        <w:tc>
          <w:tcPr>
            <w:tcW w:w="964" w:type="dxa"/>
            <w:vAlign w:val="center"/>
          </w:tcPr>
          <w:p>
            <w:pPr>
              <w:pStyle w:val="12"/>
            </w:pPr>
            <w:r>
              <w:t>291.88</w:t>
            </w:r>
          </w:p>
        </w:tc>
        <w:tc>
          <w:tcPr>
            <w:tcW w:w="1134" w:type="dxa"/>
            <w:vAlign w:val="center"/>
          </w:tcPr>
          <w:p>
            <w:pPr>
              <w:pStyle w:val="13"/>
            </w:pPr>
            <w:r>
              <w:t>办公用房施工</w:t>
            </w:r>
          </w:p>
        </w:tc>
        <w:tc>
          <w:tcPr>
            <w:tcW w:w="1134" w:type="dxa"/>
            <w:vAlign w:val="center"/>
          </w:tcPr>
          <w:p>
            <w:pPr>
              <w:pStyle w:val="13"/>
            </w:pPr>
            <w:r>
              <w:t>B01010000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25年街镇工作经费</w:t>
            </w:r>
          </w:p>
        </w:tc>
        <w:tc>
          <w:tcPr>
            <w:tcW w:w="964" w:type="dxa"/>
            <w:vAlign w:val="center"/>
          </w:tcPr>
          <w:p>
            <w:pPr>
              <w:pStyle w:val="12"/>
            </w:pPr>
            <w:r>
              <w:t>291.88</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项</w:t>
            </w:r>
          </w:p>
        </w:tc>
        <w:tc>
          <w:tcPr>
            <w:tcW w:w="850" w:type="dxa"/>
            <w:vAlign w:val="center"/>
          </w:tcPr>
          <w:p>
            <w:pPr>
              <w:pStyle w:val="12"/>
            </w:pPr>
            <w:r>
              <w:t>5</w:t>
            </w:r>
          </w:p>
        </w:tc>
        <w:tc>
          <w:tcPr>
            <w:tcW w:w="850" w:type="dxa"/>
            <w:vAlign w:val="center"/>
          </w:tcPr>
          <w:p>
            <w:pPr>
              <w:pStyle w:val="12"/>
            </w:pPr>
            <w:r>
              <w:t>4.50</w:t>
            </w:r>
          </w:p>
        </w:tc>
        <w:tc>
          <w:tcPr>
            <w:tcW w:w="964" w:type="dxa"/>
            <w:vAlign w:val="center"/>
          </w:tcPr>
          <w:p>
            <w:pPr>
              <w:pStyle w:val="12"/>
            </w:pPr>
            <w:r>
              <w:t>22.50</w:t>
            </w:r>
          </w:p>
        </w:tc>
        <w:tc>
          <w:tcPr>
            <w:tcW w:w="964" w:type="dxa"/>
            <w:vAlign w:val="center"/>
          </w:tcPr>
          <w:p>
            <w:pPr>
              <w:pStyle w:val="12"/>
            </w:pPr>
            <w:r>
              <w:t>22.50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长安区桃园镇人民政府（含所属单位）上年末固定资产金额为</w:t>
      </w:r>
      <w:r>
        <w:rPr>
          <w:rFonts w:hint="eastAsia" w:eastAsia="方正仿宋_GBK" w:cs="Times New Roman"/>
          <w:b w:val="0"/>
          <w:color w:val="000000"/>
          <w:sz w:val="28"/>
          <w:lang w:val="en-US" w:eastAsia="zh-CN"/>
        </w:rPr>
        <w:t>182.71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95.5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568长安区桃园镇人民政府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90" w:hRule="atLeast"/>
          <w:jc w:val="center"/>
        </w:trPr>
        <w:tc>
          <w:tcPr>
            <w:tcW w:w="7370" w:type="dxa"/>
            <w:vAlign w:val="center"/>
          </w:tcPr>
          <w:p>
            <w:pPr>
              <w:pStyle w:val="13"/>
              <w:rPr>
                <w:rFonts w:hint="eastAsia"/>
              </w:rPr>
            </w:pPr>
            <w:r>
              <w:rPr>
                <w:rFonts w:hint="eastAsia"/>
              </w:rPr>
              <w:t>房屋（平方米）</w:t>
            </w:r>
            <w:r>
              <w:rPr>
                <w:rFonts w:hint="eastAsia"/>
              </w:rPr>
              <w:tab/>
            </w:r>
            <w:r>
              <w:rPr>
                <w:rFonts w:hint="eastAsia"/>
              </w:rPr>
              <w:tab/>
            </w:r>
          </w:p>
          <w:p>
            <w:pPr>
              <w:pStyle w:val="13"/>
            </w:pPr>
          </w:p>
        </w:tc>
        <w:tc>
          <w:tcPr>
            <w:tcW w:w="2835" w:type="dxa"/>
            <w:vAlign w:val="center"/>
          </w:tcPr>
          <w:p>
            <w:pPr>
              <w:pStyle w:val="13"/>
              <w:rPr>
                <w:rFonts w:hint="eastAsia"/>
              </w:rPr>
            </w:pPr>
            <w:r>
              <w:rPr>
                <w:rFonts w:hint="eastAsia"/>
              </w:rPr>
              <w:t>4998</w:t>
            </w:r>
          </w:p>
          <w:p>
            <w:pPr>
              <w:pStyle w:val="14"/>
            </w:pPr>
          </w:p>
        </w:tc>
        <w:tc>
          <w:tcPr>
            <w:tcW w:w="2835" w:type="dxa"/>
            <w:vAlign w:val="center"/>
          </w:tcPr>
          <w:p>
            <w:pPr>
              <w:pStyle w:val="12"/>
            </w:pPr>
            <w:r>
              <w:rPr>
                <w:rFonts w:hint="eastAsia"/>
              </w:rPr>
              <w:t>269</w:t>
            </w:r>
            <w:r>
              <w:rPr>
                <w:rFonts w:hint="eastAsia"/>
                <w:lang w:val="en-US" w:eastAsia="zh-CN"/>
              </w:rPr>
              <w:t>.</w:t>
            </w:r>
            <w:r>
              <w:rPr>
                <w:rFonts w:hint="eastAsia"/>
              </w:rPr>
              <w:t>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90" w:hRule="atLeast"/>
          <w:jc w:val="center"/>
        </w:trPr>
        <w:tc>
          <w:tcPr>
            <w:tcW w:w="7370" w:type="dxa"/>
            <w:vAlign w:val="center"/>
          </w:tcPr>
          <w:p>
            <w:pPr>
              <w:pStyle w:val="13"/>
              <w:rPr>
                <w:rFonts w:hint="default" w:eastAsia="方正书宋_GBK"/>
                <w:lang w:val="en-US" w:eastAsia="zh-CN"/>
              </w:rPr>
            </w:pPr>
            <w:r>
              <w:rPr>
                <w:rFonts w:hint="eastAsia"/>
                <w:lang w:val="en-US" w:eastAsia="zh-CN"/>
              </w:rPr>
              <w:t>车辆</w:t>
            </w:r>
          </w:p>
        </w:tc>
        <w:tc>
          <w:tcPr>
            <w:tcW w:w="2835" w:type="dxa"/>
            <w:vAlign w:val="center"/>
          </w:tcPr>
          <w:p>
            <w:pPr>
              <w:pStyle w:val="14"/>
              <w:rPr>
                <w:rFonts w:hint="eastAsia" w:eastAsia="方正书宋_GBK"/>
                <w:lang w:val="en-US" w:eastAsia="zh-CN"/>
              </w:rPr>
            </w:pPr>
            <w:r>
              <w:rPr>
                <w:rFonts w:hint="eastAsia"/>
                <w:lang w:val="en-US" w:eastAsia="zh-CN"/>
              </w:rPr>
              <w:t>2</w:t>
            </w:r>
          </w:p>
        </w:tc>
        <w:tc>
          <w:tcPr>
            <w:tcW w:w="2835" w:type="dxa"/>
            <w:vAlign w:val="center"/>
          </w:tcPr>
          <w:p>
            <w:pPr>
              <w:pStyle w:val="12"/>
              <w:rPr>
                <w:rFonts w:hint="default" w:eastAsia="方正书宋_GBK"/>
                <w:lang w:val="en-US" w:eastAsia="zh-CN"/>
              </w:rPr>
            </w:pPr>
            <w:r>
              <w:rPr>
                <w:rFonts w:hint="eastAsia"/>
                <w:lang w:val="en-US" w:eastAsia="zh-CN"/>
              </w:rPr>
              <w:t>32.5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D43F11"/>
    <w:multiLevelType w:val="singleLevel"/>
    <w:tmpl w:val="67D43F1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7C2119"/>
    <w:rsid w:val="27FE78AA"/>
    <w:rsid w:val="671318AD"/>
    <w:rsid w:val="7AE06DDF"/>
    <w:rsid w:val="7E5E63B0"/>
    <w:rsid w:val="C5CFB9D9"/>
    <w:rsid w:val="EFAE155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358</Words>
  <Characters>381</Characters>
  <TotalTime>1</TotalTime>
  <ScaleCrop>false</ScaleCrop>
  <LinksUpToDate>false</LinksUpToDate>
  <CharactersWithSpaces>402</CharactersWithSpaces>
  <Application>WPS Office_11.8.2.12129_F1E327BC-269C-435d-A152-05C5408002CA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2025-01-23T08:17:00Z</dcterms:created>
  <dc:creator>桃源镇财务</dc:creator>
  <cp:lastModifiedBy>lenovo</cp:lastModifiedBy>
  <dcterms:modified xsi:type="dcterms:W3CDTF">2025-10-27T11:17:28Z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2052-11.8.2.12129</vt:lpwstr>
  </property>
  <property fmtid="{D5CDD505-2E9C-101B-9397-08002B2CF9AE}" pid="3" name="KSOTemplateDocerSaveRecord">
    <vt:lpwstr>eyJoZGlkIjoiNGQwMTcxMTU2MDMzNmYyMzQ0ZWU0YWEwNDg4ZWM5NGMiLCJ1c2VySWQiOiI0MzMwNzY1MzMifQ==</vt:lpwstr>
  </property>
  <property fmtid="{D5CDD505-2E9C-101B-9397-08002B2CF9AE}" pid="4" name="ICV">
    <vt:lpwstr>57DC9521EF15D3BC7BE2FE68C8E61E7B</vt:lpwstr>
  </property>
</Properties>
</file>