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一、石家庄市长安区审计局本级收支预算</w:t>
      </w:r>
      <w:r>
        <w:tab/>
      </w:r>
      <w:r>
        <w:fldChar w:fldCharType="begin"/>
      </w:r>
      <w:r>
        <w:instrText xml:space="preserve">PAGEREF _Toc_4_4_0000000021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319石家庄市长安区审计局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485.69</w:t>
            </w:r>
          </w:p>
        </w:tc>
        <w:tc>
          <w:tcPr>
            <w:tcW w:w="4535" w:type="dxa"/>
            <w:vAlign w:val="center"/>
          </w:tcPr>
          <w:p>
            <w:pPr>
              <w:pStyle w:val="14"/>
            </w:pPr>
            <w:r>
              <w:t>一、一般公共服务支出</w:t>
            </w:r>
          </w:p>
        </w:tc>
        <w:tc>
          <w:tcPr>
            <w:tcW w:w="2126" w:type="dxa"/>
            <w:vAlign w:val="center"/>
          </w:tcPr>
          <w:p>
            <w:pPr>
              <w:pStyle w:val="13"/>
            </w:pPr>
            <w:r>
              <w:t>307.29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485.69</w:t>
            </w:r>
          </w:p>
        </w:tc>
        <w:tc>
          <w:tcPr>
            <w:tcW w:w="4535" w:type="dxa"/>
            <w:vAlign w:val="center"/>
          </w:tcPr>
          <w:p>
            <w:pPr>
              <w:pStyle w:val="16"/>
            </w:pPr>
            <w:r>
              <w:t>本年支出合计</w:t>
            </w:r>
          </w:p>
        </w:tc>
        <w:tc>
          <w:tcPr>
            <w:tcW w:w="2126" w:type="dxa"/>
            <w:vAlign w:val="center"/>
          </w:tcPr>
          <w:p>
            <w:pPr>
              <w:pStyle w:val="17"/>
            </w:pPr>
            <w:r>
              <w:t>485.69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485.69</w:t>
            </w:r>
          </w:p>
        </w:tc>
        <w:tc>
          <w:tcPr>
            <w:tcW w:w="4535" w:type="dxa"/>
            <w:vAlign w:val="center"/>
          </w:tcPr>
          <w:p>
            <w:pPr>
              <w:pStyle w:val="16"/>
            </w:pPr>
            <w:r>
              <w:t>支出总计</w:t>
            </w:r>
          </w:p>
        </w:tc>
        <w:tc>
          <w:tcPr>
            <w:tcW w:w="2126" w:type="dxa"/>
            <w:vAlign w:val="center"/>
          </w:tcPr>
          <w:p>
            <w:pPr>
              <w:pStyle w:val="17"/>
            </w:pPr>
            <w:r>
              <w:t>485.69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319石家庄市长安区审计局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485.69</w:t>
            </w:r>
          </w:p>
        </w:tc>
        <w:tc>
          <w:tcPr>
            <w:tcW w:w="1134" w:type="dxa"/>
            <w:vAlign w:val="center"/>
          </w:tcPr>
          <w:p>
            <w:pPr>
              <w:pStyle w:val="17"/>
            </w:pPr>
            <w:r>
              <w:t>485.69</w:t>
            </w:r>
          </w:p>
        </w:tc>
        <w:tc>
          <w:tcPr>
            <w:tcW w:w="1134" w:type="dxa"/>
            <w:vAlign w:val="center"/>
          </w:tcPr>
          <w:p>
            <w:pPr>
              <w:pStyle w:val="17"/>
            </w:pPr>
            <w:r>
              <w:t>485.69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20108</w:t>
            </w:r>
          </w:p>
        </w:tc>
        <w:tc>
          <w:tcPr>
            <w:tcW w:w="1559" w:type="dxa"/>
            <w:vAlign w:val="center"/>
          </w:tcPr>
          <w:p>
            <w:pPr>
              <w:pStyle w:val="14"/>
            </w:pPr>
            <w:r>
              <w:t>审计事务</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2010801</w:t>
            </w:r>
          </w:p>
        </w:tc>
        <w:tc>
          <w:tcPr>
            <w:tcW w:w="1559" w:type="dxa"/>
            <w:vAlign w:val="center"/>
          </w:tcPr>
          <w:p>
            <w:pPr>
              <w:pStyle w:val="14"/>
            </w:pPr>
            <w:r>
              <w:t>行政运行</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89.35</w:t>
            </w:r>
          </w:p>
        </w:tc>
        <w:tc>
          <w:tcPr>
            <w:tcW w:w="1134" w:type="dxa"/>
            <w:vAlign w:val="center"/>
          </w:tcPr>
          <w:p>
            <w:pPr>
              <w:pStyle w:val="13"/>
            </w:pPr>
            <w:r>
              <w:t>89.35</w:t>
            </w:r>
          </w:p>
        </w:tc>
        <w:tc>
          <w:tcPr>
            <w:tcW w:w="1134" w:type="dxa"/>
            <w:vAlign w:val="center"/>
          </w:tcPr>
          <w:p>
            <w:pPr>
              <w:pStyle w:val="13"/>
            </w:pPr>
            <w:r>
              <w:t>89.35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32.95</w:t>
            </w:r>
          </w:p>
        </w:tc>
        <w:tc>
          <w:tcPr>
            <w:tcW w:w="1134" w:type="dxa"/>
            <w:vAlign w:val="center"/>
          </w:tcPr>
          <w:p>
            <w:pPr>
              <w:pStyle w:val="13"/>
            </w:pPr>
            <w:r>
              <w:t>32.95</w:t>
            </w:r>
          </w:p>
        </w:tc>
        <w:tc>
          <w:tcPr>
            <w:tcW w:w="1134" w:type="dxa"/>
            <w:vAlign w:val="center"/>
          </w:tcPr>
          <w:p>
            <w:pPr>
              <w:pStyle w:val="13"/>
            </w:pPr>
            <w:r>
              <w:t>32.95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485.69</w:t>
            </w:r>
          </w:p>
        </w:tc>
        <w:tc>
          <w:tcPr>
            <w:tcW w:w="1361" w:type="dxa"/>
            <w:vAlign w:val="center"/>
          </w:tcPr>
          <w:p>
            <w:pPr>
              <w:pStyle w:val="17"/>
            </w:pPr>
            <w:r>
              <w:t>485.69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20108</w:t>
            </w:r>
          </w:p>
        </w:tc>
        <w:tc>
          <w:tcPr>
            <w:tcW w:w="4535" w:type="dxa"/>
            <w:vAlign w:val="center"/>
          </w:tcPr>
          <w:p>
            <w:pPr>
              <w:pStyle w:val="14"/>
            </w:pPr>
            <w:r>
              <w:t>审计事务</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2010801</w:t>
            </w:r>
          </w:p>
        </w:tc>
        <w:tc>
          <w:tcPr>
            <w:tcW w:w="4535" w:type="dxa"/>
            <w:vAlign w:val="center"/>
          </w:tcPr>
          <w:p>
            <w:pPr>
              <w:pStyle w:val="14"/>
            </w:pPr>
            <w:r>
              <w:t>行政运行</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122.30</w:t>
            </w:r>
          </w:p>
        </w:tc>
        <w:tc>
          <w:tcPr>
            <w:tcW w:w="1361" w:type="dxa"/>
            <w:vAlign w:val="center"/>
          </w:tcPr>
          <w:p>
            <w:pPr>
              <w:pStyle w:val="13"/>
            </w:pPr>
            <w:r>
              <w:t>122.30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122.30</w:t>
            </w:r>
          </w:p>
        </w:tc>
        <w:tc>
          <w:tcPr>
            <w:tcW w:w="1361" w:type="dxa"/>
            <w:vAlign w:val="center"/>
          </w:tcPr>
          <w:p>
            <w:pPr>
              <w:pStyle w:val="13"/>
            </w:pPr>
            <w:r>
              <w:t>122.30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89.35</w:t>
            </w:r>
          </w:p>
        </w:tc>
        <w:tc>
          <w:tcPr>
            <w:tcW w:w="1361" w:type="dxa"/>
            <w:vAlign w:val="center"/>
          </w:tcPr>
          <w:p>
            <w:pPr>
              <w:pStyle w:val="13"/>
            </w:pPr>
            <w:r>
              <w:t>89.35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32.95</w:t>
            </w:r>
          </w:p>
        </w:tc>
        <w:tc>
          <w:tcPr>
            <w:tcW w:w="1361" w:type="dxa"/>
            <w:vAlign w:val="center"/>
          </w:tcPr>
          <w:p>
            <w:pPr>
              <w:pStyle w:val="13"/>
            </w:pPr>
            <w:r>
              <w:t>32.95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485.69</w:t>
            </w:r>
          </w:p>
        </w:tc>
        <w:tc>
          <w:tcPr>
            <w:tcW w:w="3402" w:type="dxa"/>
            <w:vAlign w:val="center"/>
          </w:tcPr>
          <w:p>
            <w:pPr>
              <w:pStyle w:val="14"/>
            </w:pPr>
            <w:r>
              <w:t>一、一般公共服务支出</w:t>
            </w:r>
          </w:p>
        </w:tc>
        <w:tc>
          <w:tcPr>
            <w:tcW w:w="1474" w:type="dxa"/>
            <w:vAlign w:val="center"/>
          </w:tcPr>
          <w:p>
            <w:pPr>
              <w:pStyle w:val="13"/>
            </w:pPr>
            <w:r>
              <w:t>307.29</w:t>
            </w:r>
          </w:p>
        </w:tc>
        <w:tc>
          <w:tcPr>
            <w:tcW w:w="1474" w:type="dxa"/>
            <w:vAlign w:val="center"/>
          </w:tcPr>
          <w:p>
            <w:pPr>
              <w:pStyle w:val="13"/>
            </w:pPr>
            <w:r>
              <w:t>307.29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122.30</w:t>
            </w:r>
          </w:p>
        </w:tc>
        <w:tc>
          <w:tcPr>
            <w:tcW w:w="1474" w:type="dxa"/>
            <w:vAlign w:val="center"/>
          </w:tcPr>
          <w:p>
            <w:pPr>
              <w:pStyle w:val="13"/>
            </w:pPr>
            <w:r>
              <w:t>122.30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25.47</w:t>
            </w:r>
          </w:p>
        </w:tc>
        <w:tc>
          <w:tcPr>
            <w:tcW w:w="1474" w:type="dxa"/>
            <w:vAlign w:val="center"/>
          </w:tcPr>
          <w:p>
            <w:pPr>
              <w:pStyle w:val="13"/>
            </w:pPr>
            <w:r>
              <w:t>25.47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30.62</w:t>
            </w:r>
          </w:p>
        </w:tc>
        <w:tc>
          <w:tcPr>
            <w:tcW w:w="1474" w:type="dxa"/>
            <w:vAlign w:val="center"/>
          </w:tcPr>
          <w:p>
            <w:pPr>
              <w:pStyle w:val="13"/>
            </w:pPr>
            <w:r>
              <w:t>30.62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485.69</w:t>
            </w:r>
          </w:p>
        </w:tc>
        <w:tc>
          <w:tcPr>
            <w:tcW w:w="3402" w:type="dxa"/>
            <w:vAlign w:val="center"/>
          </w:tcPr>
          <w:p>
            <w:pPr>
              <w:pStyle w:val="16"/>
            </w:pPr>
            <w:r>
              <w:t>本年支出合计</w:t>
            </w:r>
          </w:p>
        </w:tc>
        <w:tc>
          <w:tcPr>
            <w:tcW w:w="1474" w:type="dxa"/>
            <w:vAlign w:val="center"/>
          </w:tcPr>
          <w:p>
            <w:pPr>
              <w:pStyle w:val="17"/>
            </w:pPr>
            <w:r>
              <w:t>485.69</w:t>
            </w:r>
          </w:p>
        </w:tc>
        <w:tc>
          <w:tcPr>
            <w:tcW w:w="1474" w:type="dxa"/>
            <w:vAlign w:val="center"/>
          </w:tcPr>
          <w:p>
            <w:pPr>
              <w:pStyle w:val="17"/>
            </w:pPr>
            <w:r>
              <w:t>485.69</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485.69</w:t>
            </w:r>
          </w:p>
        </w:tc>
        <w:tc>
          <w:tcPr>
            <w:tcW w:w="3402" w:type="dxa"/>
            <w:vAlign w:val="center"/>
          </w:tcPr>
          <w:p>
            <w:pPr>
              <w:pStyle w:val="16"/>
            </w:pPr>
            <w:r>
              <w:t>支出总计</w:t>
            </w:r>
          </w:p>
        </w:tc>
        <w:tc>
          <w:tcPr>
            <w:tcW w:w="1474" w:type="dxa"/>
            <w:vAlign w:val="center"/>
          </w:tcPr>
          <w:p>
            <w:pPr>
              <w:pStyle w:val="17"/>
            </w:pPr>
            <w:r>
              <w:t>485.69</w:t>
            </w:r>
          </w:p>
        </w:tc>
        <w:tc>
          <w:tcPr>
            <w:tcW w:w="1474" w:type="dxa"/>
            <w:vAlign w:val="center"/>
          </w:tcPr>
          <w:p>
            <w:pPr>
              <w:pStyle w:val="17"/>
            </w:pPr>
            <w:r>
              <w:t>485.69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485.69</w:t>
            </w:r>
          </w:p>
        </w:tc>
        <w:tc>
          <w:tcPr>
            <w:tcW w:w="2551" w:type="dxa"/>
            <w:vAlign w:val="center"/>
          </w:tcPr>
          <w:p>
            <w:pPr>
              <w:pStyle w:val="17"/>
            </w:pPr>
            <w:r>
              <w:t>485.69</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20108</w:t>
            </w:r>
          </w:p>
        </w:tc>
        <w:tc>
          <w:tcPr>
            <w:tcW w:w="4535" w:type="dxa"/>
            <w:vAlign w:val="center"/>
          </w:tcPr>
          <w:p>
            <w:pPr>
              <w:pStyle w:val="14"/>
            </w:pPr>
            <w:r>
              <w:t>审计事务</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2010801</w:t>
            </w:r>
          </w:p>
        </w:tc>
        <w:tc>
          <w:tcPr>
            <w:tcW w:w="4535" w:type="dxa"/>
            <w:vAlign w:val="center"/>
          </w:tcPr>
          <w:p>
            <w:pPr>
              <w:pStyle w:val="14"/>
            </w:pPr>
            <w:r>
              <w:t>行政运行</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122.30</w:t>
            </w:r>
          </w:p>
        </w:tc>
        <w:tc>
          <w:tcPr>
            <w:tcW w:w="2551" w:type="dxa"/>
            <w:vAlign w:val="center"/>
          </w:tcPr>
          <w:p>
            <w:pPr>
              <w:pStyle w:val="13"/>
            </w:pPr>
            <w:r>
              <w:t>122.30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122.30</w:t>
            </w:r>
          </w:p>
        </w:tc>
        <w:tc>
          <w:tcPr>
            <w:tcW w:w="2551" w:type="dxa"/>
            <w:vAlign w:val="center"/>
          </w:tcPr>
          <w:p>
            <w:pPr>
              <w:pStyle w:val="13"/>
            </w:pPr>
            <w:r>
              <w:t>122.30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89.35</w:t>
            </w:r>
          </w:p>
        </w:tc>
        <w:tc>
          <w:tcPr>
            <w:tcW w:w="2551" w:type="dxa"/>
            <w:vAlign w:val="center"/>
          </w:tcPr>
          <w:p>
            <w:pPr>
              <w:pStyle w:val="13"/>
            </w:pPr>
            <w:r>
              <w:t>89.35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32.95</w:t>
            </w:r>
          </w:p>
        </w:tc>
        <w:tc>
          <w:tcPr>
            <w:tcW w:w="2551" w:type="dxa"/>
            <w:vAlign w:val="center"/>
          </w:tcPr>
          <w:p>
            <w:pPr>
              <w:pStyle w:val="13"/>
            </w:pPr>
            <w:r>
              <w:t>32.95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485.69</w:t>
            </w:r>
          </w:p>
        </w:tc>
        <w:tc>
          <w:tcPr>
            <w:tcW w:w="2551" w:type="dxa"/>
            <w:vAlign w:val="center"/>
          </w:tcPr>
          <w:p>
            <w:pPr>
              <w:pStyle w:val="17"/>
            </w:pPr>
            <w:r>
              <w:t>450.14</w:t>
            </w:r>
          </w:p>
        </w:tc>
        <w:tc>
          <w:tcPr>
            <w:tcW w:w="2551" w:type="dxa"/>
            <w:vAlign w:val="center"/>
          </w:tcPr>
          <w:p>
            <w:pPr>
              <w:pStyle w:val="17"/>
            </w:pPr>
            <w:r>
              <w:t>35.54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350.84</w:t>
            </w:r>
          </w:p>
        </w:tc>
        <w:tc>
          <w:tcPr>
            <w:tcW w:w="2551" w:type="dxa"/>
            <w:vAlign w:val="center"/>
          </w:tcPr>
          <w:p>
            <w:pPr>
              <w:pStyle w:val="13"/>
            </w:pPr>
            <w:r>
              <w:t>350.84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112.53</w:t>
            </w:r>
          </w:p>
        </w:tc>
        <w:tc>
          <w:tcPr>
            <w:tcW w:w="2551" w:type="dxa"/>
            <w:vAlign w:val="center"/>
          </w:tcPr>
          <w:p>
            <w:pPr>
              <w:pStyle w:val="13"/>
            </w:pPr>
            <w:r>
              <w:t>112.53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81.16</w:t>
            </w:r>
          </w:p>
        </w:tc>
        <w:tc>
          <w:tcPr>
            <w:tcW w:w="2551" w:type="dxa"/>
            <w:vAlign w:val="center"/>
          </w:tcPr>
          <w:p>
            <w:pPr>
              <w:pStyle w:val="13"/>
            </w:pPr>
            <w:r>
              <w:t>81.16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67.19</w:t>
            </w:r>
          </w:p>
        </w:tc>
        <w:tc>
          <w:tcPr>
            <w:tcW w:w="2551" w:type="dxa"/>
            <w:vAlign w:val="center"/>
          </w:tcPr>
          <w:p>
            <w:pPr>
              <w:pStyle w:val="13"/>
            </w:pPr>
            <w:r>
              <w:t>67.19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32.95</w:t>
            </w:r>
          </w:p>
        </w:tc>
        <w:tc>
          <w:tcPr>
            <w:tcW w:w="2551" w:type="dxa"/>
            <w:vAlign w:val="center"/>
          </w:tcPr>
          <w:p>
            <w:pPr>
              <w:pStyle w:val="13"/>
            </w:pPr>
            <w:r>
              <w:t>32.95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11.11</w:t>
            </w:r>
          </w:p>
        </w:tc>
        <w:tc>
          <w:tcPr>
            <w:tcW w:w="2551" w:type="dxa"/>
            <w:vAlign w:val="center"/>
          </w:tcPr>
          <w:p>
            <w:pPr>
              <w:pStyle w:val="13"/>
            </w:pPr>
            <w:r>
              <w:t>11.11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0.91</w:t>
            </w:r>
          </w:p>
        </w:tc>
        <w:tc>
          <w:tcPr>
            <w:tcW w:w="2551" w:type="dxa"/>
            <w:vAlign w:val="center"/>
          </w:tcPr>
          <w:p>
            <w:pPr>
              <w:pStyle w:val="13"/>
            </w:pPr>
            <w:r>
              <w:t>0.91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35.54</w:t>
            </w:r>
          </w:p>
        </w:tc>
        <w:tc>
          <w:tcPr>
            <w:tcW w:w="2551" w:type="dxa"/>
            <w:vAlign w:val="center"/>
          </w:tcPr>
          <w:p>
            <w:pPr>
              <w:pStyle w:val="13"/>
            </w:pPr>
          </w:p>
        </w:tc>
        <w:tc>
          <w:tcPr>
            <w:tcW w:w="2551" w:type="dxa"/>
            <w:vAlign w:val="center"/>
          </w:tcPr>
          <w:p>
            <w:pPr>
              <w:pStyle w:val="13"/>
            </w:pPr>
            <w:r>
              <w:t>35.54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8.36</w:t>
            </w:r>
          </w:p>
        </w:tc>
        <w:tc>
          <w:tcPr>
            <w:tcW w:w="2551" w:type="dxa"/>
            <w:vAlign w:val="center"/>
          </w:tcPr>
          <w:p>
            <w:pPr>
              <w:pStyle w:val="13"/>
            </w:pPr>
          </w:p>
        </w:tc>
        <w:tc>
          <w:tcPr>
            <w:tcW w:w="2551" w:type="dxa"/>
            <w:vAlign w:val="center"/>
          </w:tcPr>
          <w:p>
            <w:pPr>
              <w:pStyle w:val="13"/>
            </w:pPr>
            <w:r>
              <w:t>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2.81</w:t>
            </w:r>
          </w:p>
        </w:tc>
        <w:tc>
          <w:tcPr>
            <w:tcW w:w="2551" w:type="dxa"/>
            <w:vAlign w:val="center"/>
          </w:tcPr>
          <w:p>
            <w:pPr>
              <w:pStyle w:val="13"/>
            </w:pPr>
          </w:p>
        </w:tc>
        <w:tc>
          <w:tcPr>
            <w:tcW w:w="2551" w:type="dxa"/>
            <w:vAlign w:val="center"/>
          </w:tcPr>
          <w:p>
            <w:pPr>
              <w:pStyle w:val="13"/>
            </w:pPr>
            <w:r>
              <w:t>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9.90</w:t>
            </w:r>
          </w:p>
        </w:tc>
        <w:tc>
          <w:tcPr>
            <w:tcW w:w="2551" w:type="dxa"/>
            <w:vAlign w:val="center"/>
          </w:tcPr>
          <w:p>
            <w:pPr>
              <w:pStyle w:val="13"/>
            </w:pPr>
          </w:p>
        </w:tc>
        <w:tc>
          <w:tcPr>
            <w:tcW w:w="2551" w:type="dxa"/>
            <w:vAlign w:val="center"/>
          </w:tcPr>
          <w:p>
            <w:pPr>
              <w:pStyle w:val="13"/>
            </w:pPr>
            <w:r>
              <w:t>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5.68</w:t>
            </w:r>
          </w:p>
        </w:tc>
        <w:tc>
          <w:tcPr>
            <w:tcW w:w="2551" w:type="dxa"/>
            <w:vAlign w:val="center"/>
          </w:tcPr>
          <w:p>
            <w:pPr>
              <w:pStyle w:val="13"/>
            </w:pPr>
          </w:p>
        </w:tc>
        <w:tc>
          <w:tcPr>
            <w:tcW w:w="2551" w:type="dxa"/>
            <w:vAlign w:val="center"/>
          </w:tcPr>
          <w:p>
            <w:pPr>
              <w:pStyle w:val="13"/>
            </w:pPr>
            <w:r>
              <w:t>5.68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99.31</w:t>
            </w:r>
          </w:p>
        </w:tc>
        <w:tc>
          <w:tcPr>
            <w:tcW w:w="2551" w:type="dxa"/>
            <w:vAlign w:val="center"/>
          </w:tcPr>
          <w:p>
            <w:pPr>
              <w:pStyle w:val="13"/>
            </w:pPr>
            <w:r>
              <w:t>99.31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89.35</w:t>
            </w:r>
          </w:p>
        </w:tc>
        <w:tc>
          <w:tcPr>
            <w:tcW w:w="2551" w:type="dxa"/>
            <w:vAlign w:val="center"/>
          </w:tcPr>
          <w:p>
            <w:pPr>
              <w:pStyle w:val="13"/>
            </w:pPr>
            <w:r>
              <w:t>89.35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9.90</w:t>
            </w:r>
          </w:p>
        </w:tc>
        <w:tc>
          <w:tcPr>
            <w:tcW w:w="2551" w:type="dxa"/>
            <w:vAlign w:val="center"/>
          </w:tcPr>
          <w:p>
            <w:pPr>
              <w:pStyle w:val="13"/>
            </w:pPr>
            <w:r>
              <w:t>9.90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319石家庄市长安区审计局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2.65</w:t>
            </w:r>
          </w:p>
        </w:tc>
        <w:tc>
          <w:tcPr>
            <w:tcW w:w="2381" w:type="dxa"/>
            <w:vAlign w:val="center"/>
          </w:tcPr>
          <w:p>
            <w:pPr>
              <w:pStyle w:val="17"/>
            </w:pPr>
            <w:r>
              <w:t>2.65</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r>
              <w:t>0.15</w:t>
            </w:r>
          </w:p>
        </w:tc>
        <w:tc>
          <w:tcPr>
            <w:tcW w:w="2381" w:type="dxa"/>
            <w:vAlign w:val="center"/>
          </w:tcPr>
          <w:p>
            <w:pPr>
              <w:pStyle w:val="13"/>
            </w:pPr>
            <w:r>
              <w:t>0.15</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石家庄市长安区审计局2025年部门预算信息公开情况说明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石家庄市长安区审计局2025年部门预算信息公开情况说明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按照《中华人民共和国预算法》、《地方预决算公开操作规程》和《关于进一步推进预算公开工作的实施意见》规定，现将石家庄市长安区审计局2025年部门预算公开如下：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（一）主管全区审计工作。负责对区政府财政收支和法律法规规定属于审计监督范围的财务收支的真实、合法和效益进行审计监督。</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（二）制订并组织实施全区审计工作发展规划、专业领域审计工作规划和年度审计计划。</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（三）向区长提出区本级年度预算执行和其他财政收支情况的审计结果报告。</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（四）直接审计下列事项，出具审计报告，在法定职权范围内做出审计决定，提出处理、处罚的建议。</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1、区本级财政预算执行情况和其他财政收支，区直部门预算执行情况、决算和其他财政收支，中央、省和市财政转移支付资金。</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2、区财政直接管辖的镇人民政府预算执行情况、决算和其他财政收支，中央、省和市财政转移支付资金。</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3、使用区级财政资金的事业单位和社会团体的财务收支。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4、按规定对区直有关部门、事业单位党政主要领导干部，区属企业领导人及依法属于区审计机关审计监督对象的其他单位主要负责人实施经济责任审计。</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5、区级投资和以区投资为主的建设项目的预算执行情况和决算。</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6、区属国有企业和国有资本占控股或主导地位企业资产、负债和损益情况。</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7、区政府管理和其他单位受区政府及其部门委托管理的社会保障基金、社会捐赠资金及其他有关基金、资金的财务收支。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8、国际组织和外国政府援助、贷款项目的财务收支。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9、法律、行政法规规定的应当由审计机关审计的其他事项。</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（五）依法检查审计决定执行情况，督促纠正和处理审计发现的问题，依法办理被审计单位对审计决定提请行政复议、行政诉讼或区政府裁决中的有关事项。协助配合有关部门查处相关重大案件。</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（六）指导和监督内部审计工作，核查社会审计机构对依法属于审计监督对象的单位出具相关审计报告。</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石家庄市长安区审计局本级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按照预算管理有关规定，目前部门预算的编制实行综合预算管理，即全部收入和支出都反映在预算中。石家庄市长安区审计局机关及所属事业单位的收支包含在部门预算中。</w:t>
      </w:r>
    </w:p>
    <w:p>
      <w:pPr>
        <w:pStyle w:val="20"/>
      </w:pPr>
      <w:r>
        <w:t>1、收入说明</w:t>
      </w:r>
    </w:p>
    <w:p>
      <w:pPr>
        <w:pStyle w:val="20"/>
      </w:pPr>
      <w:r>
        <w:t>反映本部门当年全部收入。2025年预算收入485.69万元，其中：一般公共预算收入485.69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长安区审计局年度部门预算中支出预算的总体情况。2025年支出预算485.69万元，其中基本支出485.69万元，包括人员经费450.14万元和日常公用经费35.54万元；项目支出0.00万元，主要为无项目支出</w:t>
      </w:r>
    </w:p>
    <w:p>
      <w:pPr>
        <w:pStyle w:val="20"/>
      </w:pPr>
      <w:r>
        <w:t>3、比上年增减情况</w:t>
      </w:r>
    </w:p>
    <w:p>
      <w:pPr>
        <w:pStyle w:val="20"/>
      </w:pPr>
      <w:r>
        <w:t>2025年预算收支安排485.69万元，较2024年预算减少3.46万元，其中：基本支出减少3.46万元，主要为节约支出项目支出增加0.00万元，主要为本年与上年支出无变化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2025年，我部门机关运行经费共计安排35.54万元，主要用于日常维修、办公用房水电费、办公用房取暖费、办公用房物业管理费等日常运行支出。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2025年，我部门财政拨款“三公”经费预算安排2.65万元，其中因公出国（境）费0.00万元；公务用车购置及运维费2.50万元（其中：公务用车购置费为0.00万元，公务用车运维费2.50万元)；公务接待费0.15万元。与2024年相比增加0.00万元，增减变化的主要原因是本年与上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一是加强对重大政策措施落实情况的审计监督。对中央和省、市出台的一系列稳增长、促改革、调结构、惠民生、防风险政策措施，通过审计，揭露和查处各种违背政策规定、有令不行、有禁不止等行为，全力推动改革发展政策和重大项目落实，保障政策落地生根。二是加强对公共资金使用情况的审计监督。加强统筹管理，不能让大量的财政资金趴在账上，解决好如何花钱的问题。三是加强对民生资金的审计监督。对医疗、扶贫、最低生活保障、城镇保障性安居工程等民生资金和项目，切实加强监督，持之以恒地进行审计，推动惠民政策落实，切实维护人民群众切身利益。四是加强对政府投资项目的质量和效益的监督，重点揭示违反建设程序、违规招标、高估冒算及套取骗取建设资金等问题，促进政府投资建设管理的规范化和效益最大化。五是加强对经济运行的安全性和效益性监督。加大对经济社会运行中风险的揭示和反映力度，提出解决问题和化解风险的建议，切实维护国家经济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1、区级审计方面。</w:t>
      </w:r>
    </w:p>
    <w:p>
      <w:pPr>
        <w:pStyle w:val="24"/>
      </w:pPr>
      <w:r>
        <w:t>绩效目标：通过财政财务收支审计真实、合法和效益情况，维护国家财政经济秩序，促进廉政建设，保障国民经济的健康运行。</w:t>
      </w:r>
    </w:p>
    <w:p>
      <w:pPr>
        <w:pStyle w:val="24"/>
      </w:pPr>
      <w:r>
        <w:t>绩效指标：审计计划完成率大于等于90%，审计决定落实率大于等于85%。</w:t>
      </w:r>
    </w:p>
    <w:p>
      <w:pPr>
        <w:pStyle w:val="24"/>
      </w:pPr>
      <w:r>
        <w:t>2、财务收支及预算执行审计情况。</w:t>
      </w:r>
    </w:p>
    <w:p>
      <w:pPr>
        <w:pStyle w:val="24"/>
      </w:pPr>
      <w:r>
        <w:t>绩效目标：通过审计财政、财务收支真实、合法和效益，维护国家财政经济秩序、促进廉政建设、保障国民经济的健康发展。</w:t>
      </w:r>
    </w:p>
    <w:p>
      <w:pPr>
        <w:pStyle w:val="24"/>
      </w:pPr>
      <w:r>
        <w:t>绩效指标：审计计划完成率大于等于90%，审计决定落实率大于等于85%。</w:t>
      </w:r>
    </w:p>
    <w:p>
      <w:pPr>
        <w:pStyle w:val="24"/>
      </w:pPr>
      <w:r>
        <w:t>3、专项审计调查</w:t>
      </w:r>
    </w:p>
    <w:p>
      <w:pPr>
        <w:pStyle w:val="24"/>
      </w:pPr>
      <w:r>
        <w:t>绩效目标：通过专项审计调查，综合分析，向有关部门反映情况，揭露问题、提出解决问题的建议，为政府决策提供依据，为国家宏观调控服务。</w:t>
      </w:r>
    </w:p>
    <w:p>
      <w:pPr>
        <w:pStyle w:val="24"/>
      </w:pPr>
      <w:r>
        <w:t>绩效指标：专项审计工作完成率大于等于90%，政策建议采纳率大于等于90%。</w:t>
      </w:r>
    </w:p>
    <w:p>
      <w:pPr>
        <w:pStyle w:val="24"/>
      </w:pPr>
      <w:r>
        <w:t>4、内部审计管理。</w:t>
      </w:r>
    </w:p>
    <w:p>
      <w:pPr>
        <w:pStyle w:val="24"/>
      </w:pPr>
      <w:r>
        <w:t>绩效目标：通过建立健全法规，加大内部审计管理制度建设，提高审计质量和审计机关法制管理水平。</w:t>
      </w:r>
    </w:p>
    <w:p>
      <w:pPr>
        <w:pStyle w:val="24"/>
      </w:pPr>
      <w:r>
        <w:t>绩效指标：内审业务办结率大于等于90%，内审业务指导、监督检查率大于等于70%。</w:t>
      </w:r>
    </w:p>
    <w:p>
      <w:pPr>
        <w:pStyle w:val="24"/>
      </w:pPr>
      <w:r>
        <w:t>5、审计法制管理。</w:t>
      </w:r>
    </w:p>
    <w:p>
      <w:pPr>
        <w:pStyle w:val="24"/>
      </w:pPr>
      <w:r>
        <w:t>绩效目标：通过审计项目审理来保审计质量，提高县级审计法制管理水平。</w:t>
      </w:r>
    </w:p>
    <w:p>
      <w:pPr>
        <w:pStyle w:val="24"/>
      </w:pPr>
      <w:r>
        <w:t xml:space="preserve">绩效指标：审计项目审理覆盖率100%，审计项目报告合格率100% 。    </w:t>
      </w:r>
    </w:p>
    <w:p>
      <w:pPr>
        <w:pStyle w:val="24"/>
      </w:pPr>
      <w:r>
        <w:t>6、审计综合业务管理和综合事务管理。</w:t>
      </w:r>
    </w:p>
    <w:p>
      <w:pPr>
        <w:pStyle w:val="24"/>
      </w:pPr>
      <w:r>
        <w:t>绩效目标：保障信息安全有效，推进信息化建设，加强宣传引导，促进审计文化研究，推动审计事业发展。</w:t>
      </w:r>
    </w:p>
    <w:p>
      <w:pPr>
        <w:pStyle w:val="24"/>
      </w:pPr>
      <w:r>
        <w:t>绩效指标：综合业务管理和综合事务管理完成率100%。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1、创新审计方式方法，以挖掘问题，促进管理，提高效益为目标，采取多项措施，牢固树立质量立审、质量强审意识，增强审计深度，着力提升今年审计工作质量。</w:t>
      </w:r>
    </w:p>
    <w:p>
      <w:pPr>
        <w:pStyle w:val="25"/>
      </w:pPr>
      <w:r>
        <w:t>2、加强审计人员的思想和业务培训工作，提高全体审计人员的思想认识和业务水平。与此同时，进一步完善落实相关规章制度，这些规章制度的落实，使审计管理工作进一步得到加强和规范。</w:t>
      </w:r>
    </w:p>
    <w:p>
      <w:pPr>
        <w:pStyle w:val="25"/>
      </w:pPr>
      <w:r>
        <w:t>3、完善制度建设。制定完善预算绩效管理制度、资金管理办法、工作保障制度等，为全年预算绩效目标的实现奠定制度基础。</w:t>
      </w:r>
    </w:p>
    <w:p>
      <w:pPr>
        <w:pStyle w:val="25"/>
      </w:pPr>
      <w:r>
        <w:t>4、加强支出管理。通过优化支出结构、编细编实预算、加快履行政府采购手续、尽快启动项目、及时支付资金、6月底前细化代编预算、按规定及时下达资金等多种措施，确保支出进度达标。</w:t>
      </w:r>
    </w:p>
    <w:p>
      <w:pPr>
        <w:pStyle w:val="25"/>
      </w:pPr>
      <w:r>
        <w:t>5、加强绩效运行监控。按要求开展绩效运行监控，发现问题及时采取措施，确保绩效目标如期保质实现。</w:t>
      </w:r>
    </w:p>
    <w:p>
      <w:pPr>
        <w:pStyle w:val="25"/>
      </w:pPr>
      <w:r>
        <w:t>6、做好绩效自评。按要求开展上年度部门预算绩效自评和重点评价工作，对评价中发现的问题及时整改，调整优化支出结构，提高财政资金使用效益。</w:t>
      </w:r>
    </w:p>
    <w:p>
      <w:pPr>
        <w:pStyle w:val="25"/>
      </w:pPr>
      <w:r>
        <w:t>7、规范财务资产管理。完善财务管理制度，严格审批程序，加强固定资产登记、使用和报废处置管理，做到支出合理，物尽其用。</w:t>
      </w:r>
    </w:p>
    <w:p>
      <w:pPr>
        <w:pStyle w:val="25"/>
      </w:pPr>
      <w:r>
        <w:t>8、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9、加强宣传培训调研等。加强人员培训，提高本部门职工业务素质；加强调研，提出优化财政资金配置、提高资金使用效益的意见；加大宣传力度，强化预算绩效管理意识，促进预算绩效管理水平进一步提升。</w:t>
      </w:r>
    </w:p>
    <w:p>
      <w:pPr>
        <w:pStyle w:val="25"/>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无部门主管专项资金</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319石家庄市长安区审计局</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3.45</w:t>
            </w:r>
          </w:p>
        </w:tc>
        <w:tc>
          <w:tcPr>
            <w:tcW w:w="964" w:type="dxa"/>
            <w:vAlign w:val="center"/>
          </w:tcPr>
          <w:p>
            <w:pPr>
              <w:pStyle w:val="17"/>
            </w:pPr>
            <w:r>
              <w:t>3.45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石家庄市长安区审计局本级小计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3.45</w:t>
            </w:r>
          </w:p>
        </w:tc>
        <w:tc>
          <w:tcPr>
            <w:tcW w:w="964" w:type="dxa"/>
            <w:vAlign w:val="center"/>
          </w:tcPr>
          <w:p>
            <w:pPr>
              <w:pStyle w:val="17"/>
            </w:pPr>
            <w:r>
              <w:t>3.45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其他纸制文具</w:t>
            </w:r>
          </w:p>
        </w:tc>
        <w:tc>
          <w:tcPr>
            <w:tcW w:w="1134" w:type="dxa"/>
            <w:vAlign w:val="center"/>
          </w:tcPr>
          <w:p>
            <w:pPr>
              <w:pStyle w:val="14"/>
            </w:pPr>
            <w:r>
              <w:t>A05040199</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其他纸制文具</w:t>
            </w:r>
          </w:p>
        </w:tc>
        <w:tc>
          <w:tcPr>
            <w:tcW w:w="1134" w:type="dxa"/>
            <w:vAlign w:val="center"/>
          </w:tcPr>
          <w:p>
            <w:pPr>
              <w:pStyle w:val="14"/>
            </w:pPr>
            <w:r>
              <w:t>A05040199</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其他硒鼓、粉盒</w:t>
            </w:r>
          </w:p>
        </w:tc>
        <w:tc>
          <w:tcPr>
            <w:tcW w:w="1134" w:type="dxa"/>
            <w:vAlign w:val="center"/>
          </w:tcPr>
          <w:p>
            <w:pPr>
              <w:pStyle w:val="14"/>
            </w:pPr>
            <w:r>
              <w:t>A05040299</w:t>
            </w:r>
          </w:p>
        </w:tc>
        <w:tc>
          <w:tcPr>
            <w:tcW w:w="709" w:type="dxa"/>
            <w:vAlign w:val="center"/>
          </w:tcPr>
          <w:p>
            <w:pPr>
              <w:pStyle w:val="15"/>
            </w:pPr>
            <w:r>
              <w:t>个</w:t>
            </w:r>
          </w:p>
        </w:tc>
        <w:tc>
          <w:tcPr>
            <w:tcW w:w="850" w:type="dxa"/>
            <w:vAlign w:val="center"/>
          </w:tcPr>
          <w:p>
            <w:pPr>
              <w:pStyle w:val="13"/>
            </w:pPr>
            <w:r>
              <w:t>15</w:t>
            </w:r>
          </w:p>
        </w:tc>
        <w:tc>
          <w:tcPr>
            <w:tcW w:w="850" w:type="dxa"/>
            <w:vAlign w:val="center"/>
          </w:tcPr>
          <w:p>
            <w:pPr>
              <w:pStyle w:val="13"/>
            </w:pPr>
            <w:r>
              <w:t>0.03</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个</w:t>
            </w:r>
          </w:p>
        </w:tc>
        <w:tc>
          <w:tcPr>
            <w:tcW w:w="850" w:type="dxa"/>
            <w:vAlign w:val="center"/>
          </w:tcPr>
          <w:p>
            <w:pPr>
              <w:pStyle w:val="13"/>
            </w:pPr>
            <w:r>
              <w:t>5</w:t>
            </w:r>
          </w:p>
        </w:tc>
        <w:tc>
          <w:tcPr>
            <w:tcW w:w="850" w:type="dxa"/>
            <w:vAlign w:val="center"/>
          </w:tcPr>
          <w:p>
            <w:pPr>
              <w:pStyle w:val="13"/>
            </w:pPr>
            <w:r>
              <w:t>0.02</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石家庄市长安区审计局（含所属单位）上年末固定资产金额为73.50万元（详见下表）。本年度拟购置固定资产总额为0.00万元，已按要求列入政府采购预算，详见政府采购预算表。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319石家庄市长安区审计局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153</w:t>
            </w:r>
          </w:p>
        </w:tc>
        <w:tc>
          <w:tcPr>
            <w:tcW w:w="2835" w:type="dxa"/>
            <w:vAlign w:val="center"/>
          </w:tcPr>
          <w:p>
            <w:pPr>
              <w:pStyle w:val="13"/>
            </w:pPr>
            <w:r>
              <w:t>56.86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一、石家庄市长安区审计局本级收支预算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485.69</w:t>
            </w:r>
          </w:p>
        </w:tc>
        <w:tc>
          <w:tcPr>
            <w:tcW w:w="4535" w:type="dxa"/>
            <w:vAlign w:val="center"/>
          </w:tcPr>
          <w:p>
            <w:pPr>
              <w:pStyle w:val="14"/>
            </w:pPr>
            <w:r>
              <w:t>一、一般公共服务支出</w:t>
            </w:r>
          </w:p>
        </w:tc>
        <w:tc>
          <w:tcPr>
            <w:tcW w:w="2126" w:type="dxa"/>
            <w:vAlign w:val="center"/>
          </w:tcPr>
          <w:p>
            <w:pPr>
              <w:pStyle w:val="13"/>
            </w:pPr>
            <w:r>
              <w:t>307.29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485.69</w:t>
            </w:r>
          </w:p>
        </w:tc>
        <w:tc>
          <w:tcPr>
            <w:tcW w:w="4535" w:type="dxa"/>
            <w:vAlign w:val="center"/>
          </w:tcPr>
          <w:p>
            <w:pPr>
              <w:pStyle w:val="16"/>
            </w:pPr>
            <w:r>
              <w:t>本年支出合计</w:t>
            </w:r>
          </w:p>
        </w:tc>
        <w:tc>
          <w:tcPr>
            <w:tcW w:w="2126" w:type="dxa"/>
            <w:vAlign w:val="center"/>
          </w:tcPr>
          <w:p>
            <w:pPr>
              <w:pStyle w:val="17"/>
            </w:pPr>
            <w:r>
              <w:t>485.69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485.69</w:t>
            </w:r>
          </w:p>
        </w:tc>
        <w:tc>
          <w:tcPr>
            <w:tcW w:w="4535" w:type="dxa"/>
            <w:vAlign w:val="center"/>
          </w:tcPr>
          <w:p>
            <w:pPr>
              <w:pStyle w:val="16"/>
            </w:pPr>
            <w:r>
              <w:t>支出总计</w:t>
            </w:r>
          </w:p>
        </w:tc>
        <w:tc>
          <w:tcPr>
            <w:tcW w:w="2126" w:type="dxa"/>
            <w:vAlign w:val="center"/>
          </w:tcPr>
          <w:p>
            <w:pPr>
              <w:pStyle w:val="17"/>
            </w:pPr>
            <w:r>
              <w:t>485.69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485.69</w:t>
            </w:r>
          </w:p>
        </w:tc>
        <w:tc>
          <w:tcPr>
            <w:tcW w:w="1134" w:type="dxa"/>
            <w:vAlign w:val="center"/>
          </w:tcPr>
          <w:p>
            <w:pPr>
              <w:pStyle w:val="17"/>
            </w:pPr>
            <w:r>
              <w:t>485.69</w:t>
            </w:r>
          </w:p>
        </w:tc>
        <w:tc>
          <w:tcPr>
            <w:tcW w:w="1134" w:type="dxa"/>
            <w:vAlign w:val="center"/>
          </w:tcPr>
          <w:p>
            <w:pPr>
              <w:pStyle w:val="17"/>
            </w:pPr>
            <w:r>
              <w:t>485.69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20108</w:t>
            </w:r>
          </w:p>
        </w:tc>
        <w:tc>
          <w:tcPr>
            <w:tcW w:w="1559" w:type="dxa"/>
            <w:vAlign w:val="center"/>
          </w:tcPr>
          <w:p>
            <w:pPr>
              <w:pStyle w:val="14"/>
            </w:pPr>
            <w:r>
              <w:t>审计事务</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2010801</w:t>
            </w:r>
          </w:p>
        </w:tc>
        <w:tc>
          <w:tcPr>
            <w:tcW w:w="1559" w:type="dxa"/>
            <w:vAlign w:val="center"/>
          </w:tcPr>
          <w:p>
            <w:pPr>
              <w:pStyle w:val="14"/>
            </w:pPr>
            <w:r>
              <w:t>行政运行</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r>
              <w:t>307.29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r>
              <w:t>122.30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89.35</w:t>
            </w:r>
          </w:p>
        </w:tc>
        <w:tc>
          <w:tcPr>
            <w:tcW w:w="1134" w:type="dxa"/>
            <w:vAlign w:val="center"/>
          </w:tcPr>
          <w:p>
            <w:pPr>
              <w:pStyle w:val="13"/>
            </w:pPr>
            <w:r>
              <w:t>89.35</w:t>
            </w:r>
          </w:p>
        </w:tc>
        <w:tc>
          <w:tcPr>
            <w:tcW w:w="1134" w:type="dxa"/>
            <w:vAlign w:val="center"/>
          </w:tcPr>
          <w:p>
            <w:pPr>
              <w:pStyle w:val="13"/>
            </w:pPr>
            <w:r>
              <w:t>89.35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32.95</w:t>
            </w:r>
          </w:p>
        </w:tc>
        <w:tc>
          <w:tcPr>
            <w:tcW w:w="1134" w:type="dxa"/>
            <w:vAlign w:val="center"/>
          </w:tcPr>
          <w:p>
            <w:pPr>
              <w:pStyle w:val="13"/>
            </w:pPr>
            <w:r>
              <w:t>32.95</w:t>
            </w:r>
          </w:p>
        </w:tc>
        <w:tc>
          <w:tcPr>
            <w:tcW w:w="1134" w:type="dxa"/>
            <w:vAlign w:val="center"/>
          </w:tcPr>
          <w:p>
            <w:pPr>
              <w:pStyle w:val="13"/>
            </w:pPr>
            <w:r>
              <w:t>32.95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r>
              <w:t>25.47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r>
              <w:t>30.62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485.69</w:t>
            </w:r>
          </w:p>
        </w:tc>
        <w:tc>
          <w:tcPr>
            <w:tcW w:w="1361" w:type="dxa"/>
            <w:vAlign w:val="center"/>
          </w:tcPr>
          <w:p>
            <w:pPr>
              <w:pStyle w:val="17"/>
            </w:pPr>
            <w:r>
              <w:t>485.69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20108</w:t>
            </w:r>
          </w:p>
        </w:tc>
        <w:tc>
          <w:tcPr>
            <w:tcW w:w="4535" w:type="dxa"/>
            <w:vAlign w:val="center"/>
          </w:tcPr>
          <w:p>
            <w:pPr>
              <w:pStyle w:val="14"/>
            </w:pPr>
            <w:r>
              <w:t>审计事务</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2010801</w:t>
            </w:r>
          </w:p>
        </w:tc>
        <w:tc>
          <w:tcPr>
            <w:tcW w:w="4535" w:type="dxa"/>
            <w:vAlign w:val="center"/>
          </w:tcPr>
          <w:p>
            <w:pPr>
              <w:pStyle w:val="14"/>
            </w:pPr>
            <w:r>
              <w:t>行政运行</w:t>
            </w:r>
          </w:p>
        </w:tc>
        <w:tc>
          <w:tcPr>
            <w:tcW w:w="1361" w:type="dxa"/>
            <w:vAlign w:val="center"/>
          </w:tcPr>
          <w:p>
            <w:pPr>
              <w:pStyle w:val="13"/>
            </w:pPr>
            <w:r>
              <w:t>307.29</w:t>
            </w:r>
          </w:p>
        </w:tc>
        <w:tc>
          <w:tcPr>
            <w:tcW w:w="1361" w:type="dxa"/>
            <w:vAlign w:val="center"/>
          </w:tcPr>
          <w:p>
            <w:pPr>
              <w:pStyle w:val="13"/>
            </w:pPr>
            <w:r>
              <w:t>307.29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122.30</w:t>
            </w:r>
          </w:p>
        </w:tc>
        <w:tc>
          <w:tcPr>
            <w:tcW w:w="1361" w:type="dxa"/>
            <w:vAlign w:val="center"/>
          </w:tcPr>
          <w:p>
            <w:pPr>
              <w:pStyle w:val="13"/>
            </w:pPr>
            <w:r>
              <w:t>122.30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122.30</w:t>
            </w:r>
          </w:p>
        </w:tc>
        <w:tc>
          <w:tcPr>
            <w:tcW w:w="1361" w:type="dxa"/>
            <w:vAlign w:val="center"/>
          </w:tcPr>
          <w:p>
            <w:pPr>
              <w:pStyle w:val="13"/>
            </w:pPr>
            <w:r>
              <w:t>122.30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89.35</w:t>
            </w:r>
          </w:p>
        </w:tc>
        <w:tc>
          <w:tcPr>
            <w:tcW w:w="1361" w:type="dxa"/>
            <w:vAlign w:val="center"/>
          </w:tcPr>
          <w:p>
            <w:pPr>
              <w:pStyle w:val="13"/>
            </w:pPr>
            <w:r>
              <w:t>89.35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32.95</w:t>
            </w:r>
          </w:p>
        </w:tc>
        <w:tc>
          <w:tcPr>
            <w:tcW w:w="1361" w:type="dxa"/>
            <w:vAlign w:val="center"/>
          </w:tcPr>
          <w:p>
            <w:pPr>
              <w:pStyle w:val="13"/>
            </w:pPr>
            <w:r>
              <w:t>32.95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25.47</w:t>
            </w:r>
          </w:p>
        </w:tc>
        <w:tc>
          <w:tcPr>
            <w:tcW w:w="1361" w:type="dxa"/>
            <w:vAlign w:val="center"/>
          </w:tcPr>
          <w:p>
            <w:pPr>
              <w:pStyle w:val="13"/>
            </w:pPr>
            <w:r>
              <w:t>25.47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30.62</w:t>
            </w:r>
          </w:p>
        </w:tc>
        <w:tc>
          <w:tcPr>
            <w:tcW w:w="1361" w:type="dxa"/>
            <w:vAlign w:val="center"/>
          </w:tcPr>
          <w:p>
            <w:pPr>
              <w:pStyle w:val="13"/>
            </w:pPr>
            <w:r>
              <w:t>30.62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485.69</w:t>
            </w:r>
          </w:p>
        </w:tc>
        <w:tc>
          <w:tcPr>
            <w:tcW w:w="3402" w:type="dxa"/>
            <w:vAlign w:val="center"/>
          </w:tcPr>
          <w:p>
            <w:pPr>
              <w:pStyle w:val="14"/>
            </w:pPr>
            <w:r>
              <w:t>一、一般公共服务支出</w:t>
            </w:r>
          </w:p>
        </w:tc>
        <w:tc>
          <w:tcPr>
            <w:tcW w:w="1474" w:type="dxa"/>
            <w:vAlign w:val="center"/>
          </w:tcPr>
          <w:p>
            <w:pPr>
              <w:pStyle w:val="13"/>
            </w:pPr>
            <w:r>
              <w:t>307.29</w:t>
            </w:r>
          </w:p>
        </w:tc>
        <w:tc>
          <w:tcPr>
            <w:tcW w:w="1474" w:type="dxa"/>
            <w:vAlign w:val="center"/>
          </w:tcPr>
          <w:p>
            <w:pPr>
              <w:pStyle w:val="13"/>
            </w:pPr>
            <w:r>
              <w:t>307.29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122.30</w:t>
            </w:r>
          </w:p>
        </w:tc>
        <w:tc>
          <w:tcPr>
            <w:tcW w:w="1474" w:type="dxa"/>
            <w:vAlign w:val="center"/>
          </w:tcPr>
          <w:p>
            <w:pPr>
              <w:pStyle w:val="13"/>
            </w:pPr>
            <w:r>
              <w:t>122.30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25.47</w:t>
            </w:r>
          </w:p>
        </w:tc>
        <w:tc>
          <w:tcPr>
            <w:tcW w:w="1474" w:type="dxa"/>
            <w:vAlign w:val="center"/>
          </w:tcPr>
          <w:p>
            <w:pPr>
              <w:pStyle w:val="13"/>
            </w:pPr>
            <w:r>
              <w:t>25.47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30.62</w:t>
            </w:r>
          </w:p>
        </w:tc>
        <w:tc>
          <w:tcPr>
            <w:tcW w:w="1474" w:type="dxa"/>
            <w:vAlign w:val="center"/>
          </w:tcPr>
          <w:p>
            <w:pPr>
              <w:pStyle w:val="13"/>
            </w:pPr>
            <w:r>
              <w:t>30.62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485.69</w:t>
            </w:r>
          </w:p>
        </w:tc>
        <w:tc>
          <w:tcPr>
            <w:tcW w:w="3402" w:type="dxa"/>
            <w:vAlign w:val="center"/>
          </w:tcPr>
          <w:p>
            <w:pPr>
              <w:pStyle w:val="16"/>
            </w:pPr>
            <w:r>
              <w:t>本年支出合计</w:t>
            </w:r>
          </w:p>
        </w:tc>
        <w:tc>
          <w:tcPr>
            <w:tcW w:w="1474" w:type="dxa"/>
            <w:vAlign w:val="center"/>
          </w:tcPr>
          <w:p>
            <w:pPr>
              <w:pStyle w:val="17"/>
            </w:pPr>
            <w:r>
              <w:t>485.69</w:t>
            </w:r>
          </w:p>
        </w:tc>
        <w:tc>
          <w:tcPr>
            <w:tcW w:w="1474" w:type="dxa"/>
            <w:vAlign w:val="center"/>
          </w:tcPr>
          <w:p>
            <w:pPr>
              <w:pStyle w:val="17"/>
            </w:pPr>
            <w:r>
              <w:t>485.69</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485.69</w:t>
            </w:r>
          </w:p>
        </w:tc>
        <w:tc>
          <w:tcPr>
            <w:tcW w:w="3402" w:type="dxa"/>
            <w:vAlign w:val="center"/>
          </w:tcPr>
          <w:p>
            <w:pPr>
              <w:pStyle w:val="16"/>
            </w:pPr>
            <w:r>
              <w:t>支出总计</w:t>
            </w:r>
          </w:p>
        </w:tc>
        <w:tc>
          <w:tcPr>
            <w:tcW w:w="1474" w:type="dxa"/>
            <w:vAlign w:val="center"/>
          </w:tcPr>
          <w:p>
            <w:pPr>
              <w:pStyle w:val="17"/>
            </w:pPr>
            <w:r>
              <w:t>485.69</w:t>
            </w:r>
          </w:p>
        </w:tc>
        <w:tc>
          <w:tcPr>
            <w:tcW w:w="1474" w:type="dxa"/>
            <w:vAlign w:val="center"/>
          </w:tcPr>
          <w:p>
            <w:pPr>
              <w:pStyle w:val="17"/>
            </w:pPr>
            <w:r>
              <w:t>485.69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485.69</w:t>
            </w:r>
          </w:p>
        </w:tc>
        <w:tc>
          <w:tcPr>
            <w:tcW w:w="2551" w:type="dxa"/>
            <w:vAlign w:val="center"/>
          </w:tcPr>
          <w:p>
            <w:pPr>
              <w:pStyle w:val="17"/>
            </w:pPr>
            <w:r>
              <w:t>485.69</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20108</w:t>
            </w:r>
          </w:p>
        </w:tc>
        <w:tc>
          <w:tcPr>
            <w:tcW w:w="4535" w:type="dxa"/>
            <w:vAlign w:val="center"/>
          </w:tcPr>
          <w:p>
            <w:pPr>
              <w:pStyle w:val="14"/>
            </w:pPr>
            <w:r>
              <w:t>审计事务</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2010801</w:t>
            </w:r>
          </w:p>
        </w:tc>
        <w:tc>
          <w:tcPr>
            <w:tcW w:w="4535" w:type="dxa"/>
            <w:vAlign w:val="center"/>
          </w:tcPr>
          <w:p>
            <w:pPr>
              <w:pStyle w:val="14"/>
            </w:pPr>
            <w:r>
              <w:t>行政运行</w:t>
            </w:r>
          </w:p>
        </w:tc>
        <w:tc>
          <w:tcPr>
            <w:tcW w:w="2551" w:type="dxa"/>
            <w:vAlign w:val="center"/>
          </w:tcPr>
          <w:p>
            <w:pPr>
              <w:pStyle w:val="13"/>
            </w:pPr>
            <w:r>
              <w:t>307.29</w:t>
            </w:r>
          </w:p>
        </w:tc>
        <w:tc>
          <w:tcPr>
            <w:tcW w:w="2551" w:type="dxa"/>
            <w:vAlign w:val="center"/>
          </w:tcPr>
          <w:p>
            <w:pPr>
              <w:pStyle w:val="13"/>
            </w:pPr>
            <w:r>
              <w:t>307.29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122.30</w:t>
            </w:r>
          </w:p>
        </w:tc>
        <w:tc>
          <w:tcPr>
            <w:tcW w:w="2551" w:type="dxa"/>
            <w:vAlign w:val="center"/>
          </w:tcPr>
          <w:p>
            <w:pPr>
              <w:pStyle w:val="13"/>
            </w:pPr>
            <w:r>
              <w:t>122.30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122.30</w:t>
            </w:r>
          </w:p>
        </w:tc>
        <w:tc>
          <w:tcPr>
            <w:tcW w:w="2551" w:type="dxa"/>
            <w:vAlign w:val="center"/>
          </w:tcPr>
          <w:p>
            <w:pPr>
              <w:pStyle w:val="13"/>
            </w:pPr>
            <w:r>
              <w:t>122.30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89.35</w:t>
            </w:r>
          </w:p>
        </w:tc>
        <w:tc>
          <w:tcPr>
            <w:tcW w:w="2551" w:type="dxa"/>
            <w:vAlign w:val="center"/>
          </w:tcPr>
          <w:p>
            <w:pPr>
              <w:pStyle w:val="13"/>
            </w:pPr>
            <w:r>
              <w:t>89.35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32.95</w:t>
            </w:r>
          </w:p>
        </w:tc>
        <w:tc>
          <w:tcPr>
            <w:tcW w:w="2551" w:type="dxa"/>
            <w:vAlign w:val="center"/>
          </w:tcPr>
          <w:p>
            <w:pPr>
              <w:pStyle w:val="13"/>
            </w:pPr>
            <w:r>
              <w:t>32.95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25.47</w:t>
            </w:r>
          </w:p>
        </w:tc>
        <w:tc>
          <w:tcPr>
            <w:tcW w:w="2551" w:type="dxa"/>
            <w:vAlign w:val="center"/>
          </w:tcPr>
          <w:p>
            <w:pPr>
              <w:pStyle w:val="13"/>
            </w:pPr>
            <w:r>
              <w:t>25.47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485.69</w:t>
            </w:r>
          </w:p>
        </w:tc>
        <w:tc>
          <w:tcPr>
            <w:tcW w:w="2551" w:type="dxa"/>
            <w:vAlign w:val="center"/>
          </w:tcPr>
          <w:p>
            <w:pPr>
              <w:pStyle w:val="17"/>
            </w:pPr>
            <w:r>
              <w:t>450.14</w:t>
            </w:r>
          </w:p>
        </w:tc>
        <w:tc>
          <w:tcPr>
            <w:tcW w:w="2551" w:type="dxa"/>
            <w:vAlign w:val="center"/>
          </w:tcPr>
          <w:p>
            <w:pPr>
              <w:pStyle w:val="17"/>
            </w:pPr>
            <w:r>
              <w:t>35.54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350.84</w:t>
            </w:r>
          </w:p>
        </w:tc>
        <w:tc>
          <w:tcPr>
            <w:tcW w:w="2551" w:type="dxa"/>
            <w:vAlign w:val="center"/>
          </w:tcPr>
          <w:p>
            <w:pPr>
              <w:pStyle w:val="13"/>
            </w:pPr>
            <w:r>
              <w:t>350.84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112.53</w:t>
            </w:r>
          </w:p>
        </w:tc>
        <w:tc>
          <w:tcPr>
            <w:tcW w:w="2551" w:type="dxa"/>
            <w:vAlign w:val="center"/>
          </w:tcPr>
          <w:p>
            <w:pPr>
              <w:pStyle w:val="13"/>
            </w:pPr>
            <w:r>
              <w:t>112.53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81.16</w:t>
            </w:r>
          </w:p>
        </w:tc>
        <w:tc>
          <w:tcPr>
            <w:tcW w:w="2551" w:type="dxa"/>
            <w:vAlign w:val="center"/>
          </w:tcPr>
          <w:p>
            <w:pPr>
              <w:pStyle w:val="13"/>
            </w:pPr>
            <w:r>
              <w:t>81.16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67.19</w:t>
            </w:r>
          </w:p>
        </w:tc>
        <w:tc>
          <w:tcPr>
            <w:tcW w:w="2551" w:type="dxa"/>
            <w:vAlign w:val="center"/>
          </w:tcPr>
          <w:p>
            <w:pPr>
              <w:pStyle w:val="13"/>
            </w:pPr>
            <w:r>
              <w:t>67.19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32.95</w:t>
            </w:r>
          </w:p>
        </w:tc>
        <w:tc>
          <w:tcPr>
            <w:tcW w:w="2551" w:type="dxa"/>
            <w:vAlign w:val="center"/>
          </w:tcPr>
          <w:p>
            <w:pPr>
              <w:pStyle w:val="13"/>
            </w:pPr>
            <w:r>
              <w:t>32.95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14.36</w:t>
            </w:r>
          </w:p>
        </w:tc>
        <w:tc>
          <w:tcPr>
            <w:tcW w:w="2551" w:type="dxa"/>
            <w:vAlign w:val="center"/>
          </w:tcPr>
          <w:p>
            <w:pPr>
              <w:pStyle w:val="13"/>
            </w:pPr>
            <w:r>
              <w:t>14.36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11.11</w:t>
            </w:r>
          </w:p>
        </w:tc>
        <w:tc>
          <w:tcPr>
            <w:tcW w:w="2551" w:type="dxa"/>
            <w:vAlign w:val="center"/>
          </w:tcPr>
          <w:p>
            <w:pPr>
              <w:pStyle w:val="13"/>
            </w:pPr>
            <w:r>
              <w:t>11.11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0.91</w:t>
            </w:r>
          </w:p>
        </w:tc>
        <w:tc>
          <w:tcPr>
            <w:tcW w:w="2551" w:type="dxa"/>
            <w:vAlign w:val="center"/>
          </w:tcPr>
          <w:p>
            <w:pPr>
              <w:pStyle w:val="13"/>
            </w:pPr>
            <w:r>
              <w:t>0.91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30.62</w:t>
            </w:r>
          </w:p>
        </w:tc>
        <w:tc>
          <w:tcPr>
            <w:tcW w:w="2551" w:type="dxa"/>
            <w:vAlign w:val="center"/>
          </w:tcPr>
          <w:p>
            <w:pPr>
              <w:pStyle w:val="13"/>
            </w:pPr>
            <w:r>
              <w:t>30.62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35.54</w:t>
            </w:r>
          </w:p>
        </w:tc>
        <w:tc>
          <w:tcPr>
            <w:tcW w:w="2551" w:type="dxa"/>
            <w:vAlign w:val="center"/>
          </w:tcPr>
          <w:p>
            <w:pPr>
              <w:pStyle w:val="13"/>
            </w:pPr>
          </w:p>
        </w:tc>
        <w:tc>
          <w:tcPr>
            <w:tcW w:w="2551" w:type="dxa"/>
            <w:vAlign w:val="center"/>
          </w:tcPr>
          <w:p>
            <w:pPr>
              <w:pStyle w:val="13"/>
            </w:pPr>
            <w:r>
              <w:t>35.54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8.36</w:t>
            </w:r>
          </w:p>
        </w:tc>
        <w:tc>
          <w:tcPr>
            <w:tcW w:w="2551" w:type="dxa"/>
            <w:vAlign w:val="center"/>
          </w:tcPr>
          <w:p>
            <w:pPr>
              <w:pStyle w:val="13"/>
            </w:pPr>
          </w:p>
        </w:tc>
        <w:tc>
          <w:tcPr>
            <w:tcW w:w="2551" w:type="dxa"/>
            <w:vAlign w:val="center"/>
          </w:tcPr>
          <w:p>
            <w:pPr>
              <w:pStyle w:val="13"/>
            </w:pPr>
            <w:r>
              <w:t>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2.81</w:t>
            </w:r>
          </w:p>
        </w:tc>
        <w:tc>
          <w:tcPr>
            <w:tcW w:w="2551" w:type="dxa"/>
            <w:vAlign w:val="center"/>
          </w:tcPr>
          <w:p>
            <w:pPr>
              <w:pStyle w:val="13"/>
            </w:pPr>
          </w:p>
        </w:tc>
        <w:tc>
          <w:tcPr>
            <w:tcW w:w="2551" w:type="dxa"/>
            <w:vAlign w:val="center"/>
          </w:tcPr>
          <w:p>
            <w:pPr>
              <w:pStyle w:val="13"/>
            </w:pPr>
            <w:r>
              <w:t>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9.90</w:t>
            </w:r>
          </w:p>
        </w:tc>
        <w:tc>
          <w:tcPr>
            <w:tcW w:w="2551" w:type="dxa"/>
            <w:vAlign w:val="center"/>
          </w:tcPr>
          <w:p>
            <w:pPr>
              <w:pStyle w:val="13"/>
            </w:pPr>
          </w:p>
        </w:tc>
        <w:tc>
          <w:tcPr>
            <w:tcW w:w="2551" w:type="dxa"/>
            <w:vAlign w:val="center"/>
          </w:tcPr>
          <w:p>
            <w:pPr>
              <w:pStyle w:val="13"/>
            </w:pPr>
            <w:r>
              <w:t>9.90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5.68</w:t>
            </w:r>
          </w:p>
        </w:tc>
        <w:tc>
          <w:tcPr>
            <w:tcW w:w="2551" w:type="dxa"/>
            <w:vAlign w:val="center"/>
          </w:tcPr>
          <w:p>
            <w:pPr>
              <w:pStyle w:val="13"/>
            </w:pPr>
          </w:p>
        </w:tc>
        <w:tc>
          <w:tcPr>
            <w:tcW w:w="2551" w:type="dxa"/>
            <w:vAlign w:val="center"/>
          </w:tcPr>
          <w:p>
            <w:pPr>
              <w:pStyle w:val="13"/>
            </w:pPr>
            <w:r>
              <w:t>5.68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99.31</w:t>
            </w:r>
          </w:p>
        </w:tc>
        <w:tc>
          <w:tcPr>
            <w:tcW w:w="2551" w:type="dxa"/>
            <w:vAlign w:val="center"/>
          </w:tcPr>
          <w:p>
            <w:pPr>
              <w:pStyle w:val="13"/>
            </w:pPr>
            <w:r>
              <w:t>99.31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89.35</w:t>
            </w:r>
          </w:p>
        </w:tc>
        <w:tc>
          <w:tcPr>
            <w:tcW w:w="2551" w:type="dxa"/>
            <w:vAlign w:val="center"/>
          </w:tcPr>
          <w:p>
            <w:pPr>
              <w:pStyle w:val="13"/>
            </w:pPr>
            <w:r>
              <w:t>89.35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9.90</w:t>
            </w:r>
          </w:p>
        </w:tc>
        <w:tc>
          <w:tcPr>
            <w:tcW w:w="2551" w:type="dxa"/>
            <w:vAlign w:val="center"/>
          </w:tcPr>
          <w:p>
            <w:pPr>
              <w:pStyle w:val="13"/>
            </w:pPr>
            <w:r>
              <w:t>9.90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2.65</w:t>
            </w:r>
          </w:p>
        </w:tc>
        <w:tc>
          <w:tcPr>
            <w:tcW w:w="2381" w:type="dxa"/>
            <w:vAlign w:val="center"/>
          </w:tcPr>
          <w:p>
            <w:pPr>
              <w:pStyle w:val="17"/>
            </w:pPr>
            <w:r>
              <w:t>2.65</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2.50</w:t>
            </w:r>
          </w:p>
        </w:tc>
        <w:tc>
          <w:tcPr>
            <w:tcW w:w="2381" w:type="dxa"/>
            <w:vAlign w:val="center"/>
          </w:tcPr>
          <w:p>
            <w:pPr>
              <w:pStyle w:val="13"/>
            </w:pPr>
            <w:r>
              <w:t>2.50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r>
              <w:t>0.15</w:t>
            </w:r>
          </w:p>
        </w:tc>
        <w:tc>
          <w:tcPr>
            <w:tcW w:w="2381" w:type="dxa"/>
            <w:vAlign w:val="center"/>
          </w:tcPr>
          <w:p>
            <w:pPr>
              <w:pStyle w:val="13"/>
            </w:pPr>
            <w:r>
              <w:t>0.15</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石家庄市长安区审计局本级2025年单位预算信息公开情况说明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按照《中华人民共和国预算法》、《地方预决算公开操作规程》和《关于进一步推进预算公开工作的实施意见》规定，现将石家庄市长安区审计局本级2025年单位预算公开如下：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（一）主管全区审计工作。负责对区政府财政收支和法律法规规定属于审计监督范围的财务收支的真实、合法和效益进行审计监督。</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（二）制订并组织实施全区审计工作发展规划、专业领域审计工作规划和年度审计计划。</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（三）向区长提出区本级年度预算执行和其他财政收支情况的审计结果报告。</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（四）直接审计下列事项，出具审计报告，在法定职权范围内做出审计决定，提出处理、处罚的建议。</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1、区本级财政预算执行情况和其他财政收支，区直部门预算执行情况、决算和其他财政收支，中央、省和市财政转移支付资金。</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2、区财政直接管辖的镇人民政府预算执行情况、决算和其他财政收支，中央、省和市财政转移支付资金。</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3、使用区级财政资金的事业单位和社会团体的财务收支。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4、按规定对区直有关部门、事业单位党政主要领导干部，区属企业领导人及依法属于区审计机关审计监督对象的其他单位主要负责人实施经济责任审计。</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5、区级投资和以区投资为主的建设项目的预算执行情况和决算。</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6、区属国有企业和国有资本占控股或主导地位企业资产、负债和损益情况。</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7、区政府管理和其他单位受区政府及其部门委托管理的社会保障基金、社会捐赠资金及其他有关基金、资金的财务收支。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8、国际组织和外国政府援助、贷款项目的财务收支。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9、法律、行政法规规定的应当由审计机关审计的其他事项。</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（五）依法检查审计决定执行情况，督促纠正和处理审计发现的问题，依法办理被审计单位对审计决定提请行政复议、行政诉讼或区政府裁决中的有关事项。协助配合有关部门查处相关重大案件。</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（六）指导和监督内部审计工作，核查社会审计机构对依法属于审计监督对象的单位出具相关审计报告。</w:t>
      </w:r>
    </w:p>
    <w:p>
      <w:pPr>
        <w:spacing w:before="0" w:after="0" w:line="500" w:lineRule="exact"/>
        <w:ind w:firstLine="560"/>
        <w:jc w:val="left"/>
        <w:outlineLvl w:val="9"/>
      </w:pPr>
      <w:r>
        <w:rPr>
          <w:rFonts w:hint="eastAsia" w:ascii="Times New Roman" w:hAnsi="Times New Roman" w:eastAsia="方正仿宋_GBK" w:cs="Times New Roman"/>
          <w:color w:val="000000"/>
          <w:sz w:val="28"/>
          <w:lang w:val="en-US" w:eastAsia="zh-CN"/>
        </w:rPr>
        <w:t>（七）承办区政府交办的其他事项。</w:t>
      </w:r>
      <w:bookmarkStart w:id="21" w:name="_GoBack"/>
      <w:bookmarkEnd w:id="21"/>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石家庄市长安区审计局本级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485.69万元，其中：一般公共预算收入485.69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长安区审计局本级年度单位预算中支出预算的总体情况。2025年支出预算485.69万元，其中基本支出485.69万元，包括人员经费450.14万元和日常公用经费35.54万元；项目支出0.00万元，主要为无项目支出</w:t>
      </w:r>
    </w:p>
    <w:p>
      <w:pPr>
        <w:pStyle w:val="28"/>
      </w:pPr>
      <w:r>
        <w:t>3、比上年增减情况</w:t>
      </w:r>
    </w:p>
    <w:p>
      <w:pPr>
        <w:pStyle w:val="28"/>
      </w:pPr>
      <w:r>
        <w:t>2025年预算收支安排485.69万元，较2024年预算减少3.46万元，其中：基本支出减少3.46万元，主要为节约支出项目支出增加0.00万元，主要为本年与上年支出无变化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2025年，我单位机关运行经费共计安排35.54万元，主要用于日常维修、办公用房水电费、办公用房取暖费、办公用房物业管理费等日常运行支出。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2.65万元，其中因公出国（境）费0.00万元；公务用车购置及运维费2.50万元（其中：公务用车购置费为0.00万元，公务用车运维费2.50万元)；公务接待费0.15万元。与2024年相比增加0.00万元，增减变化的主要原因是本年与上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3.45</w:t>
            </w:r>
          </w:p>
        </w:tc>
        <w:tc>
          <w:tcPr>
            <w:tcW w:w="964" w:type="dxa"/>
            <w:vAlign w:val="center"/>
          </w:tcPr>
          <w:p>
            <w:pPr>
              <w:pStyle w:val="17"/>
            </w:pPr>
            <w:r>
              <w:t>3.45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石家庄市长安区审计局本级小计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3.45</w:t>
            </w:r>
          </w:p>
        </w:tc>
        <w:tc>
          <w:tcPr>
            <w:tcW w:w="964" w:type="dxa"/>
            <w:vAlign w:val="center"/>
          </w:tcPr>
          <w:p>
            <w:pPr>
              <w:pStyle w:val="17"/>
            </w:pPr>
            <w:r>
              <w:t>3.45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其他纸制文具</w:t>
            </w:r>
          </w:p>
        </w:tc>
        <w:tc>
          <w:tcPr>
            <w:tcW w:w="1134" w:type="dxa"/>
            <w:vAlign w:val="center"/>
          </w:tcPr>
          <w:p>
            <w:pPr>
              <w:pStyle w:val="14"/>
            </w:pPr>
            <w:r>
              <w:t>A05040199</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其他纸制文具</w:t>
            </w:r>
          </w:p>
        </w:tc>
        <w:tc>
          <w:tcPr>
            <w:tcW w:w="1134" w:type="dxa"/>
            <w:vAlign w:val="center"/>
          </w:tcPr>
          <w:p>
            <w:pPr>
              <w:pStyle w:val="14"/>
            </w:pPr>
            <w:r>
              <w:t>A05040199</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其他硒鼓、粉盒</w:t>
            </w:r>
          </w:p>
        </w:tc>
        <w:tc>
          <w:tcPr>
            <w:tcW w:w="1134" w:type="dxa"/>
            <w:vAlign w:val="center"/>
          </w:tcPr>
          <w:p>
            <w:pPr>
              <w:pStyle w:val="14"/>
            </w:pPr>
            <w:r>
              <w:t>A05040299</w:t>
            </w:r>
          </w:p>
        </w:tc>
        <w:tc>
          <w:tcPr>
            <w:tcW w:w="709" w:type="dxa"/>
            <w:vAlign w:val="center"/>
          </w:tcPr>
          <w:p>
            <w:pPr>
              <w:pStyle w:val="15"/>
            </w:pPr>
            <w:r>
              <w:t>个</w:t>
            </w:r>
          </w:p>
        </w:tc>
        <w:tc>
          <w:tcPr>
            <w:tcW w:w="850" w:type="dxa"/>
            <w:vAlign w:val="center"/>
          </w:tcPr>
          <w:p>
            <w:pPr>
              <w:pStyle w:val="13"/>
            </w:pPr>
            <w:r>
              <w:t>15</w:t>
            </w:r>
          </w:p>
        </w:tc>
        <w:tc>
          <w:tcPr>
            <w:tcW w:w="850" w:type="dxa"/>
            <w:vAlign w:val="center"/>
          </w:tcPr>
          <w:p>
            <w:pPr>
              <w:pStyle w:val="13"/>
            </w:pPr>
            <w:r>
              <w:t>0.03</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个</w:t>
            </w:r>
          </w:p>
        </w:tc>
        <w:tc>
          <w:tcPr>
            <w:tcW w:w="850" w:type="dxa"/>
            <w:vAlign w:val="center"/>
          </w:tcPr>
          <w:p>
            <w:pPr>
              <w:pStyle w:val="13"/>
            </w:pPr>
            <w:r>
              <w:t>5</w:t>
            </w:r>
          </w:p>
        </w:tc>
        <w:tc>
          <w:tcPr>
            <w:tcW w:w="850" w:type="dxa"/>
            <w:vAlign w:val="center"/>
          </w:tcPr>
          <w:p>
            <w:pPr>
              <w:pStyle w:val="13"/>
            </w:pPr>
            <w:r>
              <w:t>0.02</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公用项目1</w:t>
            </w:r>
          </w:p>
        </w:tc>
        <w:tc>
          <w:tcPr>
            <w:tcW w:w="964" w:type="dxa"/>
            <w:vAlign w:val="center"/>
          </w:tcPr>
          <w:p>
            <w:pPr>
              <w:pStyle w:val="13"/>
            </w:pPr>
            <w:r>
              <w:t>7.59</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石家庄市长安区审计局本级上年末固定资产金额为73.50万元（详见下表）。本年度拟购置固定资产总额为0.00万元，已按要求列入政府采购预算，详见政府采购预算表。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319001石家庄市长安区审计局本级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153</w:t>
            </w:r>
          </w:p>
        </w:tc>
        <w:tc>
          <w:tcPr>
            <w:tcW w:w="2835" w:type="dxa"/>
            <w:vAlign w:val="center"/>
          </w:tcPr>
          <w:p>
            <w:pPr>
              <w:pStyle w:val="13"/>
            </w:pPr>
            <w:r>
              <w:t>56.86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592C4"/>
    <w:multiLevelType w:val="singleLevel"/>
    <w:tmpl w:val="978592C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5A6AC6"/>
    <w:rsid w:val="2CAB5915"/>
    <w:rsid w:val="3352499F"/>
    <w:rsid w:val="44917883"/>
    <w:rsid w:val="4B494AF8"/>
    <w:rsid w:val="5C1E7EFF"/>
    <w:rsid w:val="7A6A13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TotalTime>3</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2025-01-21T15:15:00Z</dcterms:created>
  <dc:creator>Administrator</dc:creator>
  <cp:lastModifiedBy>Administrator</cp:lastModifiedBy>
  <dcterms:modified xsi:type="dcterms:W3CDTF">2025-01-20T22:56:51Z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9716FD09752D4BD5B3E29C2F82FB1B42</vt:lpwstr>
  </property>
</Properties>
</file>