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审计局部门</w:t>
      </w:r>
    </w:p>
    <w:p>
      <w:pPr>
        <w:spacing w:line="560" w:lineRule="exact"/>
        <w:jc w:val="center"/>
        <w:rPr>
          <w:rFonts w:ascii="宋体" w:hAnsi="宋体" w:cs="宋体"/>
          <w:b/>
          <w:bCs/>
          <w:sz w:val="44"/>
          <w:szCs w:val="44"/>
        </w:rPr>
      </w:pPr>
      <w:r>
        <w:rPr>
          <w:rFonts w:hint="eastAsia" w:ascii="宋体" w:hAnsi="宋体" w:cs="宋体"/>
          <w:b/>
          <w:bCs/>
          <w:sz w:val="44"/>
          <w:szCs w:val="44"/>
        </w:rPr>
        <w:t>2022年度整体支出绩效自评报告</w:t>
      </w:r>
    </w:p>
    <w:p>
      <w:pPr>
        <w:spacing w:line="560" w:lineRule="exact"/>
        <w:jc w:val="center"/>
        <w:rPr>
          <w:rFonts w:ascii="华文楷体" w:eastAsia="华文楷体"/>
          <w:sz w:val="32"/>
          <w:szCs w:val="32"/>
        </w:rPr>
      </w:pPr>
      <w:bookmarkStart w:id="0" w:name="_GoBack"/>
      <w:bookmarkEnd w:id="0"/>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审计局</w:t>
      </w:r>
      <w:r>
        <w:rPr>
          <w:rFonts w:hint="eastAsia" w:ascii="仿宋" w:hAnsi="仿宋" w:eastAsia="仿宋"/>
          <w:sz w:val="32"/>
          <w:szCs w:val="32"/>
        </w:rPr>
        <w:t>部门2022年整体支出情况实施了财政支出绩效自评价，形成本评价报告。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eastAsia="方正仿宋_GBK"/>
          <w:b/>
          <w:sz w:val="32"/>
          <w:szCs w:val="32"/>
        </w:rPr>
      </w:pPr>
      <w:r>
        <w:rPr>
          <w:rFonts w:hint="eastAsia" w:eastAsia="方正仿宋_GBK"/>
          <w:b/>
          <w:sz w:val="32"/>
          <w:szCs w:val="32"/>
        </w:rPr>
        <w:t>部门</w:t>
      </w:r>
      <w:r>
        <w:rPr>
          <w:rFonts w:eastAsia="方正仿宋_GBK"/>
          <w:b/>
          <w:sz w:val="32"/>
          <w:szCs w:val="32"/>
        </w:rPr>
        <w:t>职责：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hint="eastAsia" w:ascii="仿宋" w:hAnsi="仿宋" w:eastAsia="仿宋"/>
          <w:sz w:val="32"/>
          <w:szCs w:val="32"/>
        </w:rPr>
      </w:pPr>
      <w:r>
        <w:rPr>
          <w:rFonts w:ascii="方正仿宋_GBK" w:eastAsia="方正仿宋_GBK"/>
          <w:sz w:val="28"/>
        </w:rPr>
        <w:t>（一）</w:t>
      </w:r>
      <w:r>
        <w:rPr>
          <w:rFonts w:hint="eastAsia" w:ascii="仿宋" w:hAnsi="仿宋" w:eastAsia="仿宋"/>
          <w:sz w:val="32"/>
          <w:szCs w:val="32"/>
        </w:rPr>
        <w:t>主管全区审计工作。负责对区政府财政收支和法律法规规定属于审计监督范围的财务收支的真实、合法和效益进行审计监督。</w:t>
      </w:r>
    </w:p>
    <w:p>
      <w:pPr>
        <w:spacing w:line="500" w:lineRule="exact"/>
        <w:ind w:firstLine="640" w:firstLineChars="200"/>
        <w:rPr>
          <w:rFonts w:hint="eastAsia" w:ascii="仿宋" w:hAnsi="仿宋" w:eastAsia="仿宋"/>
          <w:sz w:val="32"/>
          <w:szCs w:val="32"/>
        </w:rPr>
      </w:pPr>
      <w:r>
        <w:rPr>
          <w:rFonts w:hint="eastAsia" w:ascii="仿宋" w:hAnsi="仿宋" w:eastAsia="仿宋"/>
          <w:sz w:val="32"/>
          <w:szCs w:val="32"/>
        </w:rPr>
        <w:t>（二）制订并组织实施全区审计工作发展规划、专业领域审计工作规划和年度审计计划。</w:t>
      </w:r>
    </w:p>
    <w:p>
      <w:pPr>
        <w:pStyle w:val="2"/>
        <w:spacing w:after="0" w:afterLines="0"/>
        <w:ind w:firstLine="640" w:firstLineChars="200"/>
        <w:rPr>
          <w:rFonts w:hint="eastAsia" w:ascii="仿宋" w:hAnsi="仿宋" w:eastAsia="仿宋"/>
          <w:sz w:val="32"/>
          <w:szCs w:val="32"/>
        </w:rPr>
      </w:pPr>
      <w:r>
        <w:rPr>
          <w:rFonts w:hint="eastAsia" w:ascii="仿宋" w:hAnsi="仿宋" w:eastAsia="仿宋"/>
          <w:sz w:val="32"/>
          <w:szCs w:val="32"/>
        </w:rPr>
        <w:t>（三）向区长提出区本级年度预算执行和其他财政收支情况的审计结果报告。</w:t>
      </w:r>
    </w:p>
    <w:p>
      <w:pPr>
        <w:pStyle w:val="2"/>
        <w:spacing w:after="0" w:afterLines="0"/>
        <w:ind w:firstLine="640" w:firstLineChars="200"/>
        <w:rPr>
          <w:rFonts w:hint="eastAsia" w:ascii="仿宋" w:hAnsi="仿宋" w:eastAsia="仿宋"/>
          <w:sz w:val="32"/>
          <w:szCs w:val="32"/>
        </w:rPr>
      </w:pPr>
      <w:r>
        <w:rPr>
          <w:rFonts w:hint="eastAsia" w:ascii="仿宋" w:hAnsi="仿宋" w:eastAsia="仿宋"/>
          <w:sz w:val="32"/>
          <w:szCs w:val="32"/>
        </w:rPr>
        <w:t>（四）直接审计下列事项，出具审计报告，在法定职权范围内做出审计决定，提出处理、处罚的建议。</w:t>
      </w:r>
    </w:p>
    <w:p>
      <w:pPr>
        <w:pStyle w:val="2"/>
        <w:spacing w:after="0" w:afterLines="0"/>
        <w:ind w:firstLine="640" w:firstLineChars="200"/>
        <w:rPr>
          <w:rFonts w:hint="eastAsia" w:ascii="仿宋" w:hAnsi="仿宋" w:eastAsia="仿宋"/>
          <w:sz w:val="32"/>
          <w:szCs w:val="32"/>
        </w:rPr>
      </w:pPr>
      <w:r>
        <w:rPr>
          <w:rFonts w:hint="eastAsia" w:ascii="仿宋" w:hAnsi="仿宋" w:eastAsia="仿宋"/>
          <w:sz w:val="32"/>
          <w:szCs w:val="32"/>
        </w:rPr>
        <w:t>1、区本级财政预算执行情况和其他财政收支，区直部门预算执行情况、决算和其他财政收支，中央、省和市财政转移支付资金。</w:t>
      </w:r>
    </w:p>
    <w:p>
      <w:pPr>
        <w:pStyle w:val="2"/>
        <w:spacing w:after="0" w:afterLines="0"/>
        <w:ind w:firstLine="640" w:firstLineChars="200"/>
        <w:rPr>
          <w:rFonts w:hint="eastAsia" w:ascii="仿宋" w:hAnsi="仿宋" w:eastAsia="仿宋"/>
          <w:sz w:val="32"/>
          <w:szCs w:val="32"/>
        </w:rPr>
      </w:pPr>
      <w:r>
        <w:rPr>
          <w:rFonts w:hint="eastAsia" w:ascii="仿宋" w:hAnsi="仿宋" w:eastAsia="仿宋"/>
          <w:sz w:val="32"/>
          <w:szCs w:val="32"/>
        </w:rPr>
        <w:t>2、区财政直接管辖的镇人民政府预算执行情况、决算和其他财政收支，中央、省和市财政转移支付资金。</w:t>
      </w:r>
    </w:p>
    <w:p>
      <w:pPr>
        <w:pStyle w:val="2"/>
        <w:spacing w:after="0" w:afterLines="0"/>
        <w:ind w:firstLine="640" w:firstLineChars="200"/>
        <w:rPr>
          <w:rFonts w:hint="eastAsia" w:ascii="仿宋" w:hAnsi="仿宋" w:eastAsia="仿宋"/>
          <w:sz w:val="32"/>
          <w:szCs w:val="32"/>
        </w:rPr>
      </w:pPr>
      <w:r>
        <w:rPr>
          <w:rFonts w:hint="eastAsia" w:ascii="仿宋" w:hAnsi="仿宋" w:eastAsia="仿宋"/>
          <w:sz w:val="32"/>
          <w:szCs w:val="32"/>
        </w:rPr>
        <w:t>3、使用区级财政资金的事业单位和社会团体的财务收支。</w:t>
      </w:r>
    </w:p>
    <w:p>
      <w:pPr>
        <w:pStyle w:val="2"/>
        <w:spacing w:after="0" w:afterLines="0"/>
        <w:ind w:firstLine="640" w:firstLineChars="200"/>
        <w:rPr>
          <w:rFonts w:hint="eastAsia" w:ascii="仿宋" w:hAnsi="仿宋" w:eastAsia="仿宋"/>
          <w:sz w:val="32"/>
          <w:szCs w:val="32"/>
        </w:rPr>
      </w:pPr>
      <w:r>
        <w:rPr>
          <w:rFonts w:hint="eastAsia" w:ascii="仿宋" w:hAnsi="仿宋" w:eastAsia="仿宋"/>
          <w:sz w:val="32"/>
          <w:szCs w:val="32"/>
        </w:rPr>
        <w:t>4、按规定对区直有关部门、事业单位党政主要领导干部，区属企业领导人及依法属于区审计机关审计监督对象的其他单位主要负责人实施经济责任审计。</w:t>
      </w:r>
    </w:p>
    <w:p>
      <w:pPr>
        <w:pStyle w:val="2"/>
        <w:spacing w:after="0" w:afterLines="0"/>
        <w:ind w:firstLine="640" w:firstLineChars="200"/>
        <w:rPr>
          <w:rFonts w:hint="eastAsia" w:ascii="仿宋" w:hAnsi="仿宋" w:eastAsia="仿宋"/>
          <w:sz w:val="32"/>
          <w:szCs w:val="32"/>
        </w:rPr>
      </w:pPr>
      <w:r>
        <w:rPr>
          <w:rFonts w:hint="eastAsia" w:ascii="仿宋" w:hAnsi="仿宋" w:eastAsia="仿宋"/>
          <w:sz w:val="32"/>
          <w:szCs w:val="32"/>
        </w:rPr>
        <w:t>5、区级投资和以区投资为主的建设项目的预算执行情况和决算。</w:t>
      </w:r>
    </w:p>
    <w:p>
      <w:pPr>
        <w:pStyle w:val="2"/>
        <w:ind w:firstLine="640" w:firstLineChars="200"/>
        <w:rPr>
          <w:rFonts w:hint="eastAsia" w:ascii="仿宋" w:hAnsi="仿宋" w:eastAsia="仿宋"/>
          <w:sz w:val="32"/>
          <w:szCs w:val="32"/>
        </w:rPr>
      </w:pPr>
      <w:r>
        <w:rPr>
          <w:rFonts w:hint="eastAsia" w:ascii="仿宋" w:hAnsi="仿宋" w:eastAsia="仿宋"/>
          <w:sz w:val="32"/>
          <w:szCs w:val="32"/>
        </w:rPr>
        <w:t>6、区属国有企业和国有资本占控股或主导地位企业资产、负债和损益情况。</w:t>
      </w:r>
    </w:p>
    <w:p>
      <w:pPr>
        <w:pStyle w:val="2"/>
        <w:spacing w:after="0" w:afterLines="0"/>
        <w:ind w:firstLine="640" w:firstLineChars="200"/>
        <w:rPr>
          <w:rFonts w:hint="eastAsia" w:ascii="仿宋" w:hAnsi="仿宋" w:eastAsia="仿宋"/>
          <w:sz w:val="32"/>
          <w:szCs w:val="32"/>
        </w:rPr>
      </w:pPr>
      <w:r>
        <w:rPr>
          <w:rFonts w:hint="eastAsia" w:ascii="仿宋" w:hAnsi="仿宋" w:eastAsia="仿宋"/>
          <w:sz w:val="32"/>
          <w:szCs w:val="32"/>
        </w:rPr>
        <w:t>7、区政府管理和其他单位受区政府及其部门委托管理的社会保障基金、社会捐赠资金及其他有关基金、资金的财务收支。</w:t>
      </w:r>
    </w:p>
    <w:p>
      <w:pPr>
        <w:pStyle w:val="2"/>
        <w:spacing w:after="0" w:afterLines="0"/>
        <w:ind w:firstLine="640" w:firstLineChars="200"/>
        <w:rPr>
          <w:rFonts w:hint="eastAsia" w:ascii="仿宋" w:hAnsi="仿宋" w:eastAsia="仿宋"/>
          <w:sz w:val="32"/>
          <w:szCs w:val="32"/>
        </w:rPr>
      </w:pPr>
      <w:r>
        <w:rPr>
          <w:rFonts w:hint="eastAsia" w:ascii="仿宋" w:hAnsi="仿宋" w:eastAsia="仿宋"/>
          <w:sz w:val="32"/>
          <w:szCs w:val="32"/>
        </w:rPr>
        <w:t>8、国际组织和外国政府援助、贷款项目的财务收支。</w:t>
      </w:r>
    </w:p>
    <w:p>
      <w:pPr>
        <w:pStyle w:val="2"/>
        <w:spacing w:after="0" w:afterLines="0"/>
        <w:ind w:firstLine="640" w:firstLineChars="200"/>
        <w:rPr>
          <w:rFonts w:hint="eastAsia" w:ascii="仿宋" w:hAnsi="仿宋" w:eastAsia="仿宋"/>
          <w:sz w:val="32"/>
          <w:szCs w:val="32"/>
        </w:rPr>
      </w:pPr>
      <w:r>
        <w:rPr>
          <w:rFonts w:hint="eastAsia" w:ascii="仿宋" w:hAnsi="仿宋" w:eastAsia="仿宋"/>
          <w:sz w:val="32"/>
          <w:szCs w:val="32"/>
        </w:rPr>
        <w:t>9、法律、行政法规规定的应当由审计机关审计的其他事项。</w:t>
      </w:r>
    </w:p>
    <w:p>
      <w:pPr>
        <w:pStyle w:val="2"/>
        <w:spacing w:after="0" w:afterLines="0"/>
        <w:ind w:firstLine="640" w:firstLineChars="200"/>
        <w:rPr>
          <w:rFonts w:hint="eastAsia" w:ascii="仿宋" w:hAnsi="仿宋" w:eastAsia="仿宋"/>
          <w:sz w:val="32"/>
          <w:szCs w:val="32"/>
        </w:rPr>
      </w:pPr>
      <w:r>
        <w:rPr>
          <w:rFonts w:hint="eastAsia" w:ascii="仿宋" w:hAnsi="仿宋" w:eastAsia="仿宋"/>
          <w:sz w:val="32"/>
          <w:szCs w:val="32"/>
        </w:rPr>
        <w:t>（五）依法检查审计决定执行情况，督促纠正和处理审计发现的问题，依法办理被审计单位对审计决定提请行政复议、行政诉讼或区政府裁决中的有关事项。协助配合有关部门查处相关重大案件。</w:t>
      </w:r>
    </w:p>
    <w:p>
      <w:pPr>
        <w:pStyle w:val="2"/>
        <w:spacing w:after="0" w:afterLines="0"/>
        <w:ind w:firstLine="640" w:firstLineChars="200"/>
        <w:rPr>
          <w:rFonts w:hint="eastAsia" w:ascii="仿宋" w:hAnsi="仿宋" w:eastAsia="仿宋"/>
          <w:sz w:val="32"/>
          <w:szCs w:val="32"/>
        </w:rPr>
      </w:pPr>
      <w:r>
        <w:rPr>
          <w:rFonts w:hint="eastAsia" w:ascii="仿宋" w:hAnsi="仿宋" w:eastAsia="仿宋"/>
          <w:sz w:val="32"/>
          <w:szCs w:val="32"/>
        </w:rPr>
        <w:t>（六）指导和监督内部审计工作，核查社会审计机构对依法属于审计监督对象的单位出具相关审计报告。</w:t>
      </w:r>
    </w:p>
    <w:p>
      <w:pPr>
        <w:pStyle w:val="2"/>
        <w:spacing w:after="0" w:afterLines="0"/>
        <w:ind w:firstLine="640" w:firstLineChars="200"/>
        <w:rPr>
          <w:rFonts w:hint="eastAsia" w:ascii="方正仿宋_GBK" w:eastAsia="方正仿宋_GBK"/>
          <w:b/>
          <w:sz w:val="32"/>
          <w:szCs w:val="32"/>
        </w:rPr>
      </w:pPr>
      <w:r>
        <w:rPr>
          <w:rFonts w:hint="eastAsia" w:ascii="仿宋" w:hAnsi="仿宋" w:eastAsia="仿宋"/>
          <w:sz w:val="32"/>
          <w:szCs w:val="32"/>
        </w:rPr>
        <w:t>（七）承办区政府交办的其他事项。</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eastAsia="方正仿宋_GBK"/>
          <w:b/>
          <w:sz w:val="32"/>
          <w:szCs w:val="32"/>
        </w:rPr>
      </w:pPr>
    </w:p>
    <w:p>
      <w:pPr>
        <w:autoSpaceDE w:val="0"/>
        <w:autoSpaceDN w:val="0"/>
        <w:adjustRightInd w:val="0"/>
        <w:ind w:firstLine="640" w:firstLineChars="200"/>
        <w:jc w:val="left"/>
        <w:rPr>
          <w:rFonts w:ascii="方正仿宋_GBK" w:eastAsia="方正仿宋_GBK"/>
          <w:b/>
          <w:sz w:val="32"/>
          <w:szCs w:val="32"/>
        </w:rPr>
      </w:pPr>
      <w:r>
        <w:rPr>
          <w:rFonts w:hint="eastAsia" w:ascii="方正仿宋_GBK" w:eastAsia="方正仿宋_GBK"/>
          <w:b/>
          <w:sz w:val="32"/>
          <w:szCs w:val="32"/>
        </w:rPr>
        <w:t>机构设置：</w:t>
      </w:r>
    </w:p>
    <w:p>
      <w:pPr>
        <w:jc w:val="center"/>
        <w:outlineLvl w:val="0"/>
        <w:rPr>
          <w:rFonts w:eastAsia="方正小标宋_GBK"/>
          <w:sz w:val="32"/>
          <w:szCs w:val="24"/>
        </w:rPr>
      </w:pPr>
      <w:r>
        <w:rPr>
          <w:rFonts w:eastAsia="方正小标宋_GBK"/>
          <w:sz w:val="32"/>
          <w:szCs w:val="24"/>
        </w:rPr>
        <w:t>部门</w:t>
      </w:r>
      <w:r>
        <w:rPr>
          <w:rFonts w:hint="eastAsia" w:eastAsia="方正小标宋_GBK"/>
          <w:sz w:val="32"/>
          <w:szCs w:val="24"/>
        </w:rPr>
        <w:t>机构设置情况</w:t>
      </w:r>
    </w:p>
    <w:tbl>
      <w:tblPr>
        <w:tblStyle w:val="7"/>
        <w:tblW w:w="97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eastAsia="方正书宋_GBK"/>
                <w:b/>
                <w:szCs w:val="24"/>
              </w:rPr>
            </w:pPr>
            <w:r>
              <w:rPr>
                <w:rFonts w:eastAsia="方正书宋_GBK"/>
                <w:b/>
                <w:szCs w:val="24"/>
              </w:rPr>
              <w:t>单位名称</w:t>
            </w:r>
          </w:p>
        </w:tc>
        <w:tc>
          <w:tcPr>
            <w:tcW w:w="1134" w:type="dxa"/>
            <w:vMerge w:val="restart"/>
            <w:vAlign w:val="center"/>
          </w:tcPr>
          <w:p>
            <w:pPr>
              <w:spacing w:line="300" w:lineRule="exact"/>
              <w:jc w:val="center"/>
              <w:rPr>
                <w:rFonts w:eastAsia="方正书宋_GBK"/>
                <w:b/>
                <w:szCs w:val="24"/>
              </w:rPr>
            </w:pPr>
            <w:r>
              <w:rPr>
                <w:rFonts w:eastAsia="方正书宋_GBK"/>
                <w:b/>
                <w:szCs w:val="24"/>
              </w:rPr>
              <w:t>单位性质</w:t>
            </w:r>
          </w:p>
        </w:tc>
        <w:tc>
          <w:tcPr>
            <w:tcW w:w="1276" w:type="dxa"/>
            <w:vMerge w:val="restart"/>
            <w:vAlign w:val="center"/>
          </w:tcPr>
          <w:p>
            <w:pPr>
              <w:spacing w:line="300" w:lineRule="exact"/>
              <w:jc w:val="center"/>
              <w:rPr>
                <w:rFonts w:eastAsia="方正书宋_GBK"/>
                <w:b/>
                <w:szCs w:val="24"/>
              </w:rPr>
            </w:pPr>
            <w:r>
              <w:rPr>
                <w:rFonts w:eastAsia="方正书宋_GBK"/>
                <w:b/>
                <w:szCs w:val="24"/>
              </w:rPr>
              <w:t>单位规格</w:t>
            </w:r>
          </w:p>
        </w:tc>
        <w:tc>
          <w:tcPr>
            <w:tcW w:w="2902" w:type="dxa"/>
            <w:vMerge w:val="restart"/>
            <w:vAlign w:val="center"/>
          </w:tcPr>
          <w:p>
            <w:pPr>
              <w:spacing w:line="300" w:lineRule="exact"/>
              <w:jc w:val="center"/>
              <w:rPr>
                <w:rFonts w:eastAsia="方正书宋_GBK"/>
                <w:b/>
                <w:szCs w:val="24"/>
              </w:rPr>
            </w:pPr>
            <w:r>
              <w:rPr>
                <w:rFonts w:eastAsia="方正书宋_GBK"/>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szCs w:val="24"/>
              </w:rPr>
            </w:pPr>
          </w:p>
        </w:tc>
        <w:tc>
          <w:tcPr>
            <w:tcW w:w="1134" w:type="dxa"/>
            <w:vMerge w:val="continue"/>
            <w:vAlign w:val="center"/>
          </w:tcPr>
          <w:p>
            <w:pPr>
              <w:spacing w:line="300" w:lineRule="exact"/>
              <w:jc w:val="left"/>
              <w:outlineLvl w:val="0"/>
              <w:rPr>
                <w:szCs w:val="24"/>
              </w:rPr>
            </w:pPr>
          </w:p>
        </w:tc>
        <w:tc>
          <w:tcPr>
            <w:tcW w:w="1276" w:type="dxa"/>
            <w:vMerge w:val="continue"/>
            <w:vAlign w:val="center"/>
          </w:tcPr>
          <w:p>
            <w:pPr>
              <w:spacing w:line="300" w:lineRule="exact"/>
              <w:jc w:val="left"/>
              <w:outlineLvl w:val="0"/>
              <w:rPr>
                <w:szCs w:val="24"/>
              </w:rPr>
            </w:pPr>
          </w:p>
        </w:tc>
        <w:tc>
          <w:tcPr>
            <w:tcW w:w="2902" w:type="dxa"/>
            <w:vMerge w:val="continue"/>
            <w:vAlign w:val="center"/>
          </w:tcPr>
          <w:p>
            <w:pPr>
              <w:spacing w:line="300" w:lineRule="exact"/>
              <w:jc w:val="left"/>
              <w:outlineLvl w:val="0"/>
              <w:rPr>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center"/>
              <w:rPr>
                <w:rFonts w:hint="eastAsia" w:ascii="仿宋" w:hAnsi="仿宋" w:eastAsia="仿宋"/>
                <w:szCs w:val="24"/>
              </w:rPr>
            </w:pPr>
            <w:r>
              <w:rPr>
                <w:rFonts w:hint="eastAsia" w:ascii="仿宋" w:hAnsi="仿宋" w:eastAsia="仿宋"/>
                <w:szCs w:val="24"/>
              </w:rPr>
              <w:t>石家庄市</w:t>
            </w:r>
            <w:r>
              <w:rPr>
                <w:rFonts w:hint="eastAsia" w:ascii="仿宋" w:hAnsi="仿宋" w:eastAsia="仿宋"/>
                <w:szCs w:val="24"/>
                <w:lang w:eastAsia="zh-CN"/>
              </w:rPr>
              <w:t>长安</w:t>
            </w:r>
            <w:r>
              <w:rPr>
                <w:rFonts w:hint="eastAsia" w:ascii="仿宋" w:hAnsi="仿宋" w:eastAsia="仿宋"/>
                <w:szCs w:val="24"/>
              </w:rPr>
              <w:t>区</w:t>
            </w:r>
            <w:r>
              <w:rPr>
                <w:rFonts w:hint="eastAsia" w:ascii="仿宋" w:hAnsi="仿宋" w:eastAsia="仿宋"/>
                <w:szCs w:val="24"/>
                <w:lang w:eastAsia="zh-CN"/>
              </w:rPr>
              <w:t>审计</w:t>
            </w:r>
            <w:r>
              <w:rPr>
                <w:rFonts w:hint="eastAsia" w:ascii="仿宋" w:hAnsi="仿宋" w:eastAsia="仿宋"/>
                <w:szCs w:val="24"/>
              </w:rPr>
              <w:t>局</w:t>
            </w:r>
          </w:p>
        </w:tc>
        <w:tc>
          <w:tcPr>
            <w:tcW w:w="1134" w:type="dxa"/>
            <w:vAlign w:val="center"/>
          </w:tcPr>
          <w:p>
            <w:pPr>
              <w:spacing w:line="300" w:lineRule="exact"/>
              <w:jc w:val="center"/>
              <w:rPr>
                <w:rFonts w:hint="eastAsia" w:ascii="仿宋" w:hAnsi="仿宋" w:eastAsia="仿宋"/>
                <w:szCs w:val="24"/>
              </w:rPr>
            </w:pPr>
            <w:r>
              <w:rPr>
                <w:rFonts w:hint="eastAsia" w:ascii="仿宋" w:hAnsi="仿宋" w:eastAsia="仿宋"/>
                <w:szCs w:val="24"/>
              </w:rPr>
              <w:t>行政</w:t>
            </w:r>
          </w:p>
        </w:tc>
        <w:tc>
          <w:tcPr>
            <w:tcW w:w="1276" w:type="dxa"/>
            <w:vAlign w:val="center"/>
          </w:tcPr>
          <w:p>
            <w:pPr>
              <w:spacing w:line="300" w:lineRule="exact"/>
              <w:jc w:val="center"/>
              <w:rPr>
                <w:rFonts w:hint="eastAsia" w:ascii="仿宋" w:hAnsi="仿宋" w:eastAsia="仿宋"/>
                <w:szCs w:val="24"/>
              </w:rPr>
            </w:pPr>
            <w:r>
              <w:rPr>
                <w:rFonts w:hint="eastAsia" w:ascii="仿宋" w:hAnsi="仿宋" w:eastAsia="仿宋"/>
                <w:szCs w:val="24"/>
              </w:rPr>
              <w:t>正科级</w:t>
            </w:r>
          </w:p>
        </w:tc>
        <w:tc>
          <w:tcPr>
            <w:tcW w:w="2902" w:type="dxa"/>
            <w:vAlign w:val="center"/>
          </w:tcPr>
          <w:p>
            <w:pPr>
              <w:spacing w:line="300" w:lineRule="exact"/>
              <w:jc w:val="center"/>
              <w:rPr>
                <w:rFonts w:hint="eastAsia" w:ascii="仿宋" w:hAnsi="仿宋" w:eastAsia="仿宋"/>
                <w:szCs w:val="24"/>
              </w:rPr>
            </w:pPr>
            <w:r>
              <w:rPr>
                <w:rFonts w:hint="eastAsia" w:ascii="仿宋" w:hAnsi="仿宋" w:eastAsia="仿宋"/>
                <w:szCs w:val="24"/>
              </w:rPr>
              <w:t>财政拨款</w:t>
            </w:r>
          </w:p>
        </w:tc>
      </w:tr>
    </w:tbl>
    <w:p>
      <w:pPr>
        <w:widowControl w:val="0"/>
        <w:wordWrap/>
        <w:adjustRightInd w:val="0"/>
        <w:snapToGrid w:val="0"/>
        <w:spacing w:line="560" w:lineRule="exact"/>
        <w:ind w:right="0"/>
        <w:textAlignment w:val="auto"/>
        <w:outlineLvl w:val="9"/>
        <w:rPr>
          <w:rFonts w:hint="eastAsia" w:ascii="仿宋" w:hAnsi="仿宋" w:eastAsia="仿宋" w:cs="楷体_GB2312"/>
          <w:b/>
          <w:bCs/>
          <w:sz w:val="32"/>
          <w:szCs w:val="32"/>
          <w:lang w:eastAsia="zh-CN"/>
        </w:rPr>
      </w:pPr>
      <w:r>
        <w:br w:type="textWrapping"/>
      </w:r>
      <w:r>
        <w:rPr>
          <w:rFonts w:hint="eastAsia" w:ascii="仿宋" w:hAnsi="仿宋" w:eastAsia="仿宋" w:cs="楷体_GB2312"/>
          <w:b/>
          <w:bCs/>
          <w:sz w:val="32"/>
          <w:szCs w:val="32"/>
        </w:rPr>
        <w:t>（二）</w:t>
      </w:r>
      <w:r>
        <w:rPr>
          <w:rFonts w:hint="eastAsia" w:ascii="仿宋" w:hAnsi="仿宋" w:eastAsia="仿宋" w:cs="楷体_GB2312"/>
          <w:b/>
          <w:bCs/>
          <w:sz w:val="32"/>
          <w:szCs w:val="32"/>
          <w:lang w:eastAsia="zh-CN"/>
        </w:rPr>
        <w:t>部门收支预决算情况</w:t>
      </w:r>
    </w:p>
    <w:p>
      <w:pPr>
        <w:spacing w:line="360" w:lineRule="auto"/>
        <w:ind w:firstLine="640"/>
        <w:rPr>
          <w:rFonts w:hint="eastAsia" w:ascii="仿宋" w:hAnsi="仿宋" w:eastAsia="仿宋" w:cs="仿宋"/>
          <w:sz w:val="32"/>
          <w:szCs w:val="32"/>
          <w:lang w:eastAsia="zh-CN"/>
        </w:rPr>
      </w:pPr>
      <w:r>
        <w:rPr>
          <w:rFonts w:hint="eastAsia" w:ascii="仿宋" w:hAnsi="仿宋" w:eastAsia="仿宋" w:cs="仿宋"/>
          <w:sz w:val="32"/>
          <w:szCs w:val="32"/>
          <w:lang w:eastAsia="zh-CN"/>
        </w:rPr>
        <w:t>2022年预、决算无明显差异情况。</w:t>
      </w:r>
    </w:p>
    <w:p>
      <w:pPr>
        <w:spacing w:line="360" w:lineRule="auto"/>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2022年度区审计局财政拨款收入4705368.18元，支出4705368.18元，人员经费3661107.33元，公用经费180538.68元，项目支出819969.61元。 年末结转结余43752.56元。</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snapToGrid w:val="0"/>
        <w:spacing w:line="580" w:lineRule="atLeast"/>
        <w:ind w:firstLine="640"/>
        <w:rPr>
          <w:rFonts w:hint="eastAsia" w:ascii="仿宋" w:hAnsi="仿宋" w:eastAsia="仿宋" w:cs="仿宋"/>
          <w:b/>
          <w:sz w:val="32"/>
          <w:szCs w:val="32"/>
        </w:rPr>
      </w:pPr>
      <w:r>
        <w:rPr>
          <w:rFonts w:hint="eastAsia" w:ascii="仿宋" w:hAnsi="仿宋" w:eastAsia="仿宋" w:cs="仿宋"/>
          <w:b/>
          <w:sz w:val="32"/>
          <w:szCs w:val="32"/>
        </w:rPr>
        <w:t>总体绩效目标：</w:t>
      </w:r>
    </w:p>
    <w:p>
      <w:pPr>
        <w:spacing w:line="360" w:lineRule="auto"/>
        <w:ind w:firstLine="640"/>
        <w:rPr>
          <w:rFonts w:hint="eastAsia" w:ascii="仿宋" w:hAnsi="仿宋" w:eastAsia="仿宋" w:cs="仿宋"/>
          <w:sz w:val="32"/>
          <w:szCs w:val="32"/>
        </w:rPr>
      </w:pPr>
      <w:r>
        <w:rPr>
          <w:rFonts w:hint="eastAsia" w:ascii="仿宋" w:hAnsi="仿宋" w:eastAsia="仿宋" w:cs="仿宋"/>
          <w:sz w:val="32"/>
          <w:szCs w:val="32"/>
        </w:rPr>
        <w:t>一是加强对重大政策措施落实情况的审计监督。对中央和省、市出台的一系列稳增长、促改革、调结构、惠民生、防风险政策措施，通过审计，揭露和查处各种违背政策规定、有令不行、有禁不止等行为，全力推动改革发展政策和重大项目落实，保障政策落地生根。二是加强对公共资金使用情况的审计监督。加强统筹管理，不能让大量的财政资金趴在账上，解决好如何花钱的问题。三是加强对民生资金的审计监督。对医疗、扶贫、最低生活保障、城镇保障性安居工程等民生资金和项目，切实加强监督，持之以恒地进行审计，推动惠民政策落实，切实维护人民群众切身利益。四是加强对政府投资项目的质量和效益的监督，重点揭示违反建设程序、违规招标、高估冒算及套取骗取建设资金等问题，促进政府投资建设管理的规范化和效益最大化。五是加强对经济运行的安全性和效益性监督。加大对经济社会运行中风险的揭示和反映力度，提出解决问题和化解风险的建议，切实维护国家经济安全。</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adjustRightInd w:val="0"/>
        <w:spacing w:line="600" w:lineRule="exact"/>
        <w:jc w:val="left"/>
        <w:rPr>
          <w:rFonts w:ascii="仿宋" w:hAnsi="仿宋" w:eastAsia="仿宋"/>
          <w:sz w:val="32"/>
          <w:szCs w:val="32"/>
        </w:rPr>
      </w:pPr>
      <w:r>
        <w:rPr>
          <w:rFonts w:hint="eastAsia" w:ascii="仿宋" w:hAnsi="仿宋" w:eastAsia="仿宋"/>
          <w:sz w:val="32"/>
          <w:szCs w:val="32"/>
        </w:rPr>
        <w:t xml:space="preserve">     我局对该项目经费进行核查，对相关文件、申报资料等资料进行收集整理，查询相关记账凭证进行核实、汇总，结合具体项目内容，设计绩效评价指标体系，真实、完整、全面的评价项目的实施完成情况</w:t>
      </w:r>
      <w:r>
        <w:rPr>
          <w:rFonts w:hint="eastAsia" w:ascii="仿宋" w:hAnsi="仿宋" w:eastAsia="仿宋"/>
          <w:sz w:val="32"/>
          <w:szCs w:val="32"/>
          <w:lang w:eastAsia="zh-CN"/>
        </w:rPr>
        <w:t>。</w:t>
      </w:r>
    </w:p>
    <w:p>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widowControl w:val="0"/>
        <w:wordWrap/>
        <w:spacing w:line="560" w:lineRule="exact"/>
        <w:ind w:left="0" w:leftChars="0" w:right="0"/>
        <w:textAlignment w:val="auto"/>
        <w:outlineLvl w:val="9"/>
        <w:rPr>
          <w:rFonts w:ascii="楷体" w:hAnsi="楷体" w:eastAsia="楷体" w:cs="楷体_GB2312"/>
          <w:bCs/>
          <w:sz w:val="32"/>
          <w:szCs w:val="32"/>
        </w:rPr>
      </w:pPr>
      <w:r>
        <w:rPr>
          <w:rFonts w:hint="eastAsia" w:ascii="仿宋" w:hAnsi="仿宋" w:eastAsia="仿宋"/>
          <w:sz w:val="32"/>
          <w:szCs w:val="32"/>
        </w:rPr>
        <w:t>本次绩效采用资料整理法，通过对相关记账凭证等财务资料查阅、核实、汇总分析，评价项目资金使用的规范性、支出范围的相关性和合理性等指标。通过以上方法，在专项资金使用方面，进行研究分析，均符合项目资金使用的规范性、支出范围的相关性和合理性等指标。</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总体绩效目标实现情况较为优秀，但仍存在资金支付不够及时的问题。</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1、区级审计方面。</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绩效目标：通过财政财务收支审计真实、合法和效益情况，维护国家财政经济秩序，促进廉政建设，保障国民经济的健康运行。</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绩效指标：审计计划完成率大于等于90%，审计决定落实率大于等于85%。</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2、财务收支及预算执行审计情况。</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绩效目标：通过审计财政、财务收支真实、合法和效益，维护国家财政经济秩序、促进廉政建设、保障国民经济的健康发展。</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绩效指标：审计计划完成率大于等于90%，审计决定落实率大于等于85%。</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3、专项审计调查</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绩效目标：通过专项审计调查，综合分析，向有关部门反映情况，揭露问题、提出解决问题的建议，为政府决策提供依据，为国家宏观调控服务。</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绩效指标：专项审计工作完成率大于等于90%，政策建议采纳率大于等于90%。</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4、内部审计管理。</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绩效目标：通过建立健全法规，加大内部审计管理制度建设，提高审计质量和审计机关法制管理水平。</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绩效指标：内审业务办结率大于等于90%，内审业务指导、监督检查率大于等于70%。</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5、审计法制管理。</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绩效目标：通过审计项目审理来保审计质量，提高县级审计法制管理水平。</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 xml:space="preserve">绩效指标：审计项目审理覆盖率100%，审计项目报告合格率100% 。    </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6、审计综合业务管理和综合事务管理。</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绩效目标：保障信息安全有效，推进信息化建设，加强宣传引导，促进审计文化研究，推动审计事业发展。</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绩效指标：综合业务管理和综合事务管理完成率100%。</w:t>
      </w:r>
    </w:p>
    <w:p>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分项目标完成情况较好。</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ascii="仿宋" w:hAnsi="仿宋" w:eastAsia="仿宋"/>
          <w:sz w:val="32"/>
          <w:szCs w:val="32"/>
          <w:highlight w:val="none"/>
        </w:rPr>
      </w:pPr>
      <w:r>
        <w:rPr>
          <w:rFonts w:hint="eastAsia" w:ascii="仿宋" w:hAnsi="仿宋" w:eastAsia="仿宋"/>
          <w:sz w:val="32"/>
          <w:szCs w:val="32"/>
          <w:highlight w:val="none"/>
        </w:rPr>
        <w:t>根据</w:t>
      </w:r>
      <w:r>
        <w:rPr>
          <w:rFonts w:hint="eastAsia" w:ascii="仿宋" w:hAnsi="仿宋" w:eastAsia="仿宋"/>
          <w:sz w:val="32"/>
          <w:szCs w:val="32"/>
          <w:highlight w:val="none"/>
          <w:lang w:eastAsia="zh-CN"/>
        </w:rPr>
        <w:t>部门职责定位和各项工作履职情况进行综合评价</w:t>
      </w:r>
      <w:r>
        <w:rPr>
          <w:rFonts w:hint="eastAsia" w:ascii="仿宋" w:hAnsi="仿宋" w:eastAsia="仿宋"/>
          <w:sz w:val="32"/>
          <w:szCs w:val="32"/>
          <w:highlight w:val="none"/>
        </w:rPr>
        <w:t>，</w:t>
      </w:r>
      <w:r>
        <w:rPr>
          <w:rFonts w:hint="eastAsia" w:ascii="仿宋" w:hAnsi="仿宋" w:eastAsia="仿宋"/>
          <w:sz w:val="32"/>
          <w:szCs w:val="32"/>
          <w:highlight w:val="none"/>
          <w:lang w:eastAsia="zh-CN"/>
        </w:rPr>
        <w:t>部门整体支出</w:t>
      </w:r>
      <w:r>
        <w:rPr>
          <w:rFonts w:hint="eastAsia" w:ascii="仿宋" w:hAnsi="仿宋" w:eastAsia="仿宋"/>
          <w:sz w:val="32"/>
          <w:szCs w:val="32"/>
          <w:highlight w:val="none"/>
        </w:rPr>
        <w:t>综合绩效评</w:t>
      </w:r>
      <w:r>
        <w:rPr>
          <w:rFonts w:hint="eastAsia" w:ascii="仿宋" w:hAnsi="仿宋" w:eastAsia="仿宋"/>
          <w:sz w:val="32"/>
          <w:szCs w:val="32"/>
          <w:highlight w:val="none"/>
          <w:lang w:eastAsia="zh-CN"/>
        </w:rPr>
        <w:t>为</w:t>
      </w:r>
      <w:r>
        <w:rPr>
          <w:rFonts w:hint="eastAsia" w:ascii="仿宋" w:hAnsi="仿宋" w:eastAsia="仿宋"/>
          <w:sz w:val="32"/>
          <w:szCs w:val="32"/>
          <w:highlight w:val="none"/>
        </w:rPr>
        <w:t>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adjustRightInd w:val="0"/>
        <w:spacing w:line="600" w:lineRule="exact"/>
        <w:ind w:firstLine="640" w:firstLineChars="200"/>
        <w:jc w:val="left"/>
        <w:rPr>
          <w:rFonts w:hint="eastAsia" w:ascii="楷体" w:hAnsi="楷体" w:eastAsia="楷体"/>
          <w:bCs/>
          <w:sz w:val="32"/>
          <w:szCs w:val="32"/>
        </w:rPr>
      </w:pPr>
      <w:r>
        <w:rPr>
          <w:rFonts w:hint="eastAsia" w:ascii="楷体" w:hAnsi="楷体" w:eastAsia="楷体"/>
          <w:bCs/>
          <w:sz w:val="32"/>
          <w:szCs w:val="32"/>
        </w:rPr>
        <w:t>（一）存在的主要问题</w:t>
      </w:r>
    </w:p>
    <w:p>
      <w:pPr>
        <w:adjustRightInd w:val="0"/>
        <w:spacing w:line="600" w:lineRule="exact"/>
        <w:ind w:firstLine="640" w:firstLineChars="200"/>
        <w:jc w:val="left"/>
        <w:rPr>
          <w:rFonts w:ascii="楷体" w:hAnsi="楷体" w:eastAsia="楷体"/>
          <w:bCs/>
          <w:sz w:val="32"/>
          <w:szCs w:val="32"/>
        </w:rPr>
      </w:pPr>
      <w:r>
        <w:rPr>
          <w:rFonts w:hint="eastAsia" w:ascii="仿宋" w:hAnsi="仿宋" w:eastAsia="仿宋"/>
          <w:bCs/>
          <w:sz w:val="32"/>
          <w:szCs w:val="32"/>
        </w:rPr>
        <w:t>资金支付不够及时。</w:t>
      </w:r>
    </w:p>
    <w:p>
      <w:pPr>
        <w:numPr>
          <w:ilvl w:val="0"/>
          <w:numId w:val="2"/>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adjustRightInd w:val="0"/>
        <w:spacing w:line="600" w:lineRule="exact"/>
        <w:ind w:firstLine="420"/>
        <w:jc w:val="left"/>
        <w:rPr>
          <w:rFonts w:hint="eastAsia" w:ascii="楷体" w:hAnsi="楷体" w:eastAsia="楷体"/>
          <w:bCs/>
          <w:sz w:val="32"/>
          <w:szCs w:val="32"/>
        </w:rPr>
      </w:pPr>
      <w:r>
        <w:rPr>
          <w:rFonts w:hint="eastAsia" w:ascii="仿宋" w:hAnsi="仿宋" w:eastAsia="仿宋"/>
          <w:sz w:val="32"/>
          <w:szCs w:val="32"/>
        </w:rPr>
        <w:t>我局对专项资金使用情况应进行跟踪检查，今后若发现问题及时纠正，支付应更加及时。</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4097" o:spt="202" type="#_x0000_t202" style="position:absolute;left:0pt;margin-top:0pt;height:144pt;width:144pt;mso-position-horizontal:center;mso-position-horizontal-relative:margin;mso-wrap-style:none;z-index:102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2D8E602A"/>
    <w:rsid w:val="33EB6CFF"/>
    <w:rsid w:val="35A12947"/>
    <w:rsid w:val="37387040"/>
    <w:rsid w:val="3AC41E6A"/>
    <w:rsid w:val="3B625C0A"/>
    <w:rsid w:val="3C7F582C"/>
    <w:rsid w:val="3CEE1963"/>
    <w:rsid w:val="3D1769DA"/>
    <w:rsid w:val="3DBA1C3F"/>
    <w:rsid w:val="442B247D"/>
    <w:rsid w:val="4C9C27FE"/>
    <w:rsid w:val="512260B4"/>
    <w:rsid w:val="52BD6ACB"/>
    <w:rsid w:val="55537534"/>
    <w:rsid w:val="561A74F1"/>
    <w:rsid w:val="597244E8"/>
    <w:rsid w:val="59AA682C"/>
    <w:rsid w:val="5DFA28FF"/>
    <w:rsid w:val="5EB71C30"/>
    <w:rsid w:val="66997492"/>
    <w:rsid w:val="66AF0CE5"/>
    <w:rsid w:val="6A727114"/>
    <w:rsid w:val="6AC537CF"/>
    <w:rsid w:val="6E5B14A6"/>
    <w:rsid w:val="711B255E"/>
    <w:rsid w:val="799C5BBF"/>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unhideWhenUsed/>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Body Text"/>
    <w:basedOn w:val="1"/>
    <w:qFormat/>
    <w:uiPriority w:val="0"/>
    <w:pPr>
      <w:spacing w:after="120" w:afterLines="0"/>
    </w:pPr>
    <w:rPr>
      <w:rFonts w:ascii="Times New Roman" w:hAnsi="Times New Roman"/>
      <w:kern w:val="2"/>
      <w:sz w:val="21"/>
      <w:szCs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qFormat/>
    <w:uiPriority w:val="0"/>
    <w:pPr>
      <w:widowControl/>
      <w:spacing w:before="100" w:beforeLines="0" w:beforeAutospacing="1" w:after="100" w:afterLines="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9</TotalTime>
  <ScaleCrop>false</ScaleCrop>
  <LinksUpToDate>false</LinksUpToDate>
  <CharactersWithSpaces>669</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2022-01-19T07:24:00Z</cp:lastPrinted>
  <dcterms:modified xsi:type="dcterms:W3CDTF">2023-07-24T08:53:27Z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