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附件3</w:t>
      </w:r>
    </w:p>
    <w:p>
      <w:pPr>
        <w:adjustRightInd w:val="0"/>
        <w:snapToGrid w:val="0"/>
        <w:spacing w:line="560" w:lineRule="exact"/>
        <w:rPr>
          <w:rFonts w:ascii="仿宋_GB2312" w:eastAsia="仿宋_GB2312"/>
          <w:b/>
          <w:sz w:val="32"/>
          <w:szCs w:val="32"/>
        </w:rPr>
      </w:pPr>
    </w:p>
    <w:p>
      <w:pPr>
        <w:adjustRightInd w:val="0"/>
        <w:snapToGrid w:val="0"/>
        <w:spacing w:line="560" w:lineRule="exact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 xml:space="preserve">  长安区政法委</w:t>
      </w:r>
      <w:r>
        <w:rPr>
          <w:rFonts w:hint="eastAsia" w:ascii="宋体" w:hAnsi="宋体" w:cs="宋体"/>
          <w:b/>
          <w:bCs/>
          <w:sz w:val="44"/>
          <w:szCs w:val="44"/>
        </w:rPr>
        <w:t>2022年度整体支出绩效</w:t>
      </w:r>
    </w:p>
    <w:p>
      <w:pPr>
        <w:adjustRightInd w:val="0"/>
        <w:snapToGrid w:val="0"/>
        <w:spacing w:line="560" w:lineRule="exact"/>
        <w:rPr>
          <w:rFonts w:ascii="仿宋_GB2312" w:eastAsia="仿宋_GB2312"/>
          <w:b/>
          <w:sz w:val="32"/>
          <w:szCs w:val="32"/>
        </w:rPr>
      </w:pPr>
      <w:r>
        <w:rPr>
          <w:rFonts w:hint="eastAsia" w:ascii="宋体" w:hAnsi="宋体" w:cs="宋体"/>
          <w:b/>
          <w:bCs/>
          <w:sz w:val="44"/>
          <w:szCs w:val="44"/>
        </w:rPr>
        <w:t xml:space="preserve">              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长安区政法委部门2022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>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（一）部门概况</w:t>
      </w:r>
    </w:p>
    <w:p>
      <w:pPr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（一）深入贯彻习近平新时代中国特色社会主义思想，坚持党对政法工作的绝对领导，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坚决维护习近平总书记党中央的核心</w:t>
      </w:r>
      <w:r>
        <w:rPr>
          <w:rFonts w:hint="eastAsia" w:ascii="仿宋_GB2312" w:hAnsi="仿宋_GB2312" w:eastAsia="仿宋_GB2312" w:cs="仿宋_GB2312"/>
          <w:sz w:val="32"/>
          <w:szCs w:val="32"/>
        </w:rPr>
        <w:t>、全党的核心地位，坚决维护党中央权威和集中统一领导，深入贯彻党的路线方针政策和省委、市委、区委的决策部署，统一全区政法单位思想和行动，确保全区政法单位坚定正确的政治方向。</w:t>
      </w:r>
    </w:p>
    <w:p>
      <w:pPr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（二）对全区政法工作研究提出全局性部署，推进平安建设、法治长安建设，加强过硬队伍建设，深化智能化建设，坚决维护国家政治安全、确保社会大局稳定、促进社会公平正义、保障人民安居乐业。</w:t>
      </w:r>
    </w:p>
    <w:p>
      <w:pPr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（三）了解掌握和分析研判政法工作情况动态，分析社会稳定形势，创新完善多部门参与的综治维稳工作机制，协调推动预防、化解影响稳定的社会矛盾和风险，协调应对和处置重大突发事件。</w:t>
      </w:r>
    </w:p>
    <w:p>
      <w:pPr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（四）加强对政法工作的督查，统筹协调社会治安综合治理、维护社会稳定、反邪教有关法律法规政策的实施工作。</w:t>
      </w:r>
    </w:p>
    <w:p>
      <w:pPr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（五）组织开展政法领域的调查研究，研究拟订政法工作的重大措施，及时向区委提出建议。</w:t>
      </w:r>
    </w:p>
    <w:p>
      <w:pPr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（六）掌握分析政法舆情动态，指导协调政法单位媒体网络宣传工作，指导政法单位做好涉及政法工作的重大宣传工作。</w:t>
      </w:r>
    </w:p>
    <w:p>
      <w:pPr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（七）监督和支持政法单位依法行使职权，指导和协调政法单位密切配合，研究和协调重大、疑难案件，指导政法单位涉法涉诉信访工作，推进严格执法、公正司法。</w:t>
      </w:r>
    </w:p>
    <w:p>
      <w:pPr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（八）组织研究政法改革中带有方向性、倾向性和普遍性的重大问题，深化政法改革，联系区委全面依法治区委员会办公室。</w:t>
      </w:r>
    </w:p>
    <w:p>
      <w:pPr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（九）指导推动政法系统党的建设和政法队伍建设，协调和指导全区见义勇为工作，负责区法学会工作。</w:t>
      </w:r>
    </w:p>
    <w:p>
      <w:pPr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（十）推进政法系统信息化工作，落实政法智能化建设。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/>
        <w:rPr>
          <w:rFonts w:ascii="Times New Roman" w:hAnsi="Times New Roman" w:eastAsia="方正仿宋_GBK"/>
          <w:b/>
          <w:color w:val="FF000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（十一）完成市委政法委员会、区委交办的其他任务。</w:t>
      </w:r>
    </w:p>
    <w:p>
      <w:pPr>
        <w:jc w:val="center"/>
        <w:outlineLvl w:val="0"/>
        <w:rPr>
          <w:rFonts w:eastAsia="方正小标宋_GBK"/>
          <w:sz w:val="32"/>
          <w:szCs w:val="24"/>
        </w:rPr>
      </w:pPr>
      <w:r>
        <w:rPr>
          <w:rFonts w:eastAsia="方正小标宋_GBK"/>
          <w:sz w:val="32"/>
          <w:szCs w:val="24"/>
        </w:rPr>
        <w:t>部门</w:t>
      </w:r>
      <w:r>
        <w:rPr>
          <w:rFonts w:hint="eastAsia" w:eastAsia="方正小标宋_GBK"/>
          <w:sz w:val="32"/>
          <w:szCs w:val="24"/>
        </w:rPr>
        <w:t>机构设置情况</w:t>
      </w:r>
    </w:p>
    <w:tbl>
      <w:tblPr>
        <w:tblStyle w:val="4"/>
        <w:tblW w:w="972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17"/>
        <w:gridCol w:w="1134"/>
        <w:gridCol w:w="1276"/>
        <w:gridCol w:w="2902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4417" w:type="dxa"/>
            <w:vMerge w:val="restart"/>
            <w:noWrap/>
            <w:vAlign w:val="center"/>
          </w:tcPr>
          <w:p>
            <w:pPr>
              <w:spacing w:line="300" w:lineRule="exact"/>
              <w:jc w:val="center"/>
              <w:rPr>
                <w:rFonts w:eastAsia="方正书宋_GBK"/>
                <w:b/>
                <w:szCs w:val="24"/>
              </w:rPr>
            </w:pPr>
            <w:r>
              <w:rPr>
                <w:rFonts w:eastAsia="方正书宋_GBK"/>
                <w:b/>
                <w:szCs w:val="24"/>
              </w:rPr>
              <w:t>单位名称</w:t>
            </w:r>
          </w:p>
        </w:tc>
        <w:tc>
          <w:tcPr>
            <w:tcW w:w="1134" w:type="dxa"/>
            <w:vMerge w:val="restart"/>
            <w:noWrap/>
            <w:vAlign w:val="center"/>
          </w:tcPr>
          <w:p>
            <w:pPr>
              <w:spacing w:line="300" w:lineRule="exact"/>
              <w:jc w:val="center"/>
              <w:rPr>
                <w:rFonts w:eastAsia="方正书宋_GBK"/>
                <w:b/>
                <w:szCs w:val="24"/>
              </w:rPr>
            </w:pPr>
            <w:r>
              <w:rPr>
                <w:rFonts w:eastAsia="方正书宋_GBK"/>
                <w:b/>
                <w:szCs w:val="24"/>
              </w:rPr>
              <w:t>单位性质</w:t>
            </w:r>
          </w:p>
        </w:tc>
        <w:tc>
          <w:tcPr>
            <w:tcW w:w="1276" w:type="dxa"/>
            <w:vMerge w:val="restart"/>
            <w:noWrap/>
            <w:vAlign w:val="center"/>
          </w:tcPr>
          <w:p>
            <w:pPr>
              <w:spacing w:line="300" w:lineRule="exact"/>
              <w:jc w:val="center"/>
              <w:rPr>
                <w:rFonts w:eastAsia="方正书宋_GBK"/>
                <w:b/>
                <w:szCs w:val="24"/>
              </w:rPr>
            </w:pPr>
            <w:r>
              <w:rPr>
                <w:rFonts w:eastAsia="方正书宋_GBK"/>
                <w:b/>
                <w:szCs w:val="24"/>
              </w:rPr>
              <w:t>单位规格</w:t>
            </w:r>
          </w:p>
        </w:tc>
        <w:tc>
          <w:tcPr>
            <w:tcW w:w="2902" w:type="dxa"/>
            <w:vMerge w:val="restart"/>
            <w:noWrap/>
            <w:vAlign w:val="center"/>
          </w:tcPr>
          <w:p>
            <w:pPr>
              <w:spacing w:line="300" w:lineRule="exact"/>
              <w:jc w:val="center"/>
              <w:rPr>
                <w:rFonts w:eastAsia="方正书宋_GBK"/>
                <w:b/>
                <w:szCs w:val="24"/>
              </w:rPr>
            </w:pPr>
            <w:r>
              <w:rPr>
                <w:rFonts w:eastAsia="方正书宋_GBK"/>
                <w:b/>
                <w:szCs w:val="24"/>
              </w:rPr>
              <w:t>经费保障形式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4417" w:type="dxa"/>
            <w:vMerge w:val="continue"/>
            <w:noWrap/>
            <w:vAlign w:val="center"/>
          </w:tcPr>
          <w:p>
            <w:pPr>
              <w:spacing w:line="300" w:lineRule="exact"/>
              <w:jc w:val="left"/>
              <w:outlineLvl w:val="0"/>
              <w:rPr>
                <w:szCs w:val="24"/>
              </w:rPr>
            </w:pPr>
          </w:p>
        </w:tc>
        <w:tc>
          <w:tcPr>
            <w:tcW w:w="1134" w:type="dxa"/>
            <w:vMerge w:val="continue"/>
            <w:noWrap/>
            <w:vAlign w:val="center"/>
          </w:tcPr>
          <w:p>
            <w:pPr>
              <w:spacing w:line="300" w:lineRule="exact"/>
              <w:jc w:val="left"/>
              <w:outlineLvl w:val="0"/>
              <w:rPr>
                <w:szCs w:val="24"/>
              </w:rPr>
            </w:pPr>
          </w:p>
        </w:tc>
        <w:tc>
          <w:tcPr>
            <w:tcW w:w="1276" w:type="dxa"/>
            <w:vMerge w:val="continue"/>
            <w:noWrap/>
            <w:vAlign w:val="center"/>
          </w:tcPr>
          <w:p>
            <w:pPr>
              <w:spacing w:line="300" w:lineRule="exact"/>
              <w:jc w:val="left"/>
              <w:outlineLvl w:val="0"/>
              <w:rPr>
                <w:szCs w:val="24"/>
              </w:rPr>
            </w:pPr>
          </w:p>
        </w:tc>
        <w:tc>
          <w:tcPr>
            <w:tcW w:w="2902" w:type="dxa"/>
            <w:vMerge w:val="continue"/>
            <w:noWrap/>
            <w:vAlign w:val="center"/>
          </w:tcPr>
          <w:p>
            <w:pPr>
              <w:spacing w:line="300" w:lineRule="exact"/>
              <w:jc w:val="left"/>
              <w:outlineLvl w:val="0"/>
              <w:rPr>
                <w:szCs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417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4"/>
              </w:rPr>
            </w:pPr>
            <w:r>
              <w:rPr>
                <w:rFonts w:hint="eastAsia" w:ascii="仿宋" w:hAnsi="仿宋" w:eastAsia="仿宋"/>
                <w:szCs w:val="24"/>
              </w:rPr>
              <w:t>石家庄市长安区委政法委员会</w:t>
            </w:r>
          </w:p>
        </w:tc>
        <w:tc>
          <w:tcPr>
            <w:tcW w:w="1134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4"/>
              </w:rPr>
            </w:pPr>
            <w:r>
              <w:rPr>
                <w:rFonts w:hint="eastAsia" w:ascii="仿宋" w:hAnsi="仿宋" w:eastAsia="仿宋"/>
                <w:szCs w:val="24"/>
              </w:rPr>
              <w:t>行政</w:t>
            </w:r>
          </w:p>
        </w:tc>
        <w:tc>
          <w:tcPr>
            <w:tcW w:w="1276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4"/>
              </w:rPr>
            </w:pPr>
            <w:r>
              <w:rPr>
                <w:rFonts w:hint="eastAsia" w:ascii="仿宋" w:hAnsi="仿宋" w:eastAsia="仿宋"/>
                <w:szCs w:val="24"/>
              </w:rPr>
              <w:t>正科级</w:t>
            </w:r>
          </w:p>
        </w:tc>
        <w:tc>
          <w:tcPr>
            <w:tcW w:w="290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Cs w:val="24"/>
              </w:rPr>
            </w:pPr>
            <w:r>
              <w:rPr>
                <w:rFonts w:hint="eastAsia" w:ascii="仿宋" w:hAnsi="仿宋" w:eastAsia="仿宋"/>
                <w:szCs w:val="24"/>
              </w:rPr>
              <w:t>财政拨款</w:t>
            </w:r>
          </w:p>
        </w:tc>
      </w:tr>
    </w:tbl>
    <w:p>
      <w:pPr>
        <w:adjustRightInd w:val="0"/>
        <w:snapToGrid w:val="0"/>
        <w:spacing w:line="560" w:lineRule="exact"/>
        <w:ind w:firstLine="960" w:firstLineChars="3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长安区委政法委共有在职在编人员20名，其中行政12人，事业编8人。年末资产为848.2万元。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（二）部门收支预决算情况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_GB2312" w:hAnsi="Times New Roman" w:eastAsia="仿宋_GB2312" w:cs="Wingdings"/>
          <w:sz w:val="32"/>
          <w:szCs w:val="32"/>
        </w:rPr>
      </w:pPr>
      <w:r>
        <w:rPr>
          <w:rFonts w:hint="eastAsia" w:ascii="仿宋_GB2312" w:hAnsi="Times New Roman" w:eastAsia="仿宋_GB2312" w:cs="Wingdings"/>
          <w:sz w:val="32"/>
          <w:szCs w:val="32"/>
        </w:rPr>
        <w:t>2022年度财政拨款共计1208.42万元。其中基本支出454.75万元，其中：人员经费 430.24万元，公用经费24.51万元。项目支出753.67万元。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（三）部门整体支出绩效目标、指标</w:t>
      </w:r>
    </w:p>
    <w:tbl>
      <w:tblPr>
        <w:tblStyle w:val="4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60"/>
        <w:gridCol w:w="1060"/>
        <w:gridCol w:w="1057"/>
        <w:gridCol w:w="1220"/>
        <w:gridCol w:w="999"/>
        <w:gridCol w:w="1278"/>
        <w:gridCol w:w="1061"/>
        <w:gridCol w:w="1066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1" w:hRule="atLeast"/>
        </w:trPr>
        <w:tc>
          <w:tcPr>
            <w:tcW w:w="1060" w:type="dxa"/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填报单位：</w:t>
            </w:r>
          </w:p>
        </w:tc>
        <w:tc>
          <w:tcPr>
            <w:tcW w:w="1060" w:type="dxa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sz w:val="16"/>
                <w:szCs w:val="16"/>
              </w:rPr>
              <w:t>长安区政法委</w:t>
            </w:r>
          </w:p>
        </w:tc>
        <w:tc>
          <w:tcPr>
            <w:tcW w:w="1057" w:type="dxa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220" w:type="dxa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278" w:type="dxa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61" w:type="dxa"/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66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金额单位：万元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106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一、基本情况</w:t>
            </w: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部门单位名称</w:t>
            </w:r>
          </w:p>
        </w:tc>
        <w:tc>
          <w:tcPr>
            <w:tcW w:w="22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cs="Calibri"/>
                <w:color w:val="000000"/>
                <w:sz w:val="13"/>
                <w:szCs w:val="13"/>
              </w:rPr>
            </w:pPr>
            <w:r>
              <w:rPr>
                <w:rFonts w:hint="eastAsia" w:cs="Calibri"/>
                <w:color w:val="000000"/>
                <w:sz w:val="13"/>
                <w:szCs w:val="13"/>
              </w:rPr>
              <w:t>中共石家庄市长安区委政法委员会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监控时点</w:t>
            </w:r>
          </w:p>
        </w:tc>
        <w:tc>
          <w:tcPr>
            <w:tcW w:w="340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sz w:val="16"/>
                <w:szCs w:val="16"/>
              </w:rPr>
              <w:t>2022年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1" w:hRule="atLeast"/>
        </w:trPr>
        <w:tc>
          <w:tcPr>
            <w:tcW w:w="10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二、预算执行情况</w:t>
            </w:r>
          </w:p>
        </w:tc>
        <w:tc>
          <w:tcPr>
            <w:tcW w:w="21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预算安排情况（调整后）</w:t>
            </w:r>
          </w:p>
        </w:tc>
        <w:tc>
          <w:tcPr>
            <w:tcW w:w="22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资金到位情况</w:t>
            </w:r>
          </w:p>
        </w:tc>
        <w:tc>
          <w:tcPr>
            <w:tcW w:w="23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资金执行情况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预算执行率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预算数：</w:t>
            </w: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sz w:val="16"/>
                <w:szCs w:val="16"/>
              </w:rPr>
              <w:t>1208.42</w:t>
            </w:r>
          </w:p>
        </w:tc>
        <w:tc>
          <w:tcPr>
            <w:tcW w:w="1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到位数：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sz w:val="16"/>
                <w:szCs w:val="16"/>
              </w:rPr>
              <w:t>1208.42</w:t>
            </w: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sz w:val="16"/>
                <w:szCs w:val="16"/>
              </w:rPr>
              <w:t>执行数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sz w:val="16"/>
                <w:szCs w:val="16"/>
              </w:rPr>
              <w:t>1208.42</w:t>
            </w:r>
          </w:p>
        </w:tc>
        <w:tc>
          <w:tcPr>
            <w:tcW w:w="10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100%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其中：财政资金</w:t>
            </w: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sz w:val="16"/>
                <w:szCs w:val="16"/>
              </w:rPr>
              <w:t>1208.42</w:t>
            </w:r>
          </w:p>
        </w:tc>
        <w:tc>
          <w:tcPr>
            <w:tcW w:w="1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其中：财政资金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sz w:val="16"/>
                <w:szCs w:val="16"/>
              </w:rPr>
              <w:t>1208.42</w:t>
            </w: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其中：财政资金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sz w:val="16"/>
                <w:szCs w:val="16"/>
              </w:rPr>
              <w:t>1208.42</w:t>
            </w:r>
          </w:p>
        </w:tc>
        <w:tc>
          <w:tcPr>
            <w:tcW w:w="10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其他</w:t>
            </w: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cs="Calibri"/>
                <w:color w:val="000000"/>
                <w:szCs w:val="21"/>
              </w:rPr>
            </w:pPr>
          </w:p>
        </w:tc>
        <w:tc>
          <w:tcPr>
            <w:tcW w:w="1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其他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其他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1" w:hRule="atLeast"/>
        </w:trPr>
        <w:tc>
          <w:tcPr>
            <w:tcW w:w="10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三、目标完成情况</w:t>
            </w:r>
          </w:p>
        </w:tc>
        <w:tc>
          <w:tcPr>
            <w:tcW w:w="33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年度预期目标</w:t>
            </w:r>
          </w:p>
        </w:tc>
        <w:tc>
          <w:tcPr>
            <w:tcW w:w="333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具体完成情况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总体完成率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2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337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sz w:val="16"/>
                <w:szCs w:val="16"/>
              </w:rPr>
              <w:t>做好政法各项工作</w:t>
            </w:r>
          </w:p>
        </w:tc>
        <w:tc>
          <w:tcPr>
            <w:tcW w:w="3338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sz w:val="16"/>
                <w:szCs w:val="16"/>
              </w:rPr>
              <w:t>做好政法各项工作</w:t>
            </w:r>
          </w:p>
        </w:tc>
        <w:tc>
          <w:tcPr>
            <w:tcW w:w="10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100%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2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337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338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2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337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338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1" w:hRule="atLeast"/>
        </w:trPr>
        <w:tc>
          <w:tcPr>
            <w:tcW w:w="106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四、年度绩效指标完成情况</w:t>
            </w: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一级指标</w:t>
            </w: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二级指标</w:t>
            </w:r>
          </w:p>
        </w:tc>
        <w:tc>
          <w:tcPr>
            <w:tcW w:w="22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三级指标</w:t>
            </w: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预期指标值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指标完成值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指标完成率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39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6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产出指标</w:t>
            </w: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数量指标</w:t>
            </w:r>
          </w:p>
        </w:tc>
        <w:tc>
          <w:tcPr>
            <w:tcW w:w="22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单位整理各项目完成率</w:t>
            </w:r>
          </w:p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ascii="宋体" w:hAnsi="宋体" w:cs="宋体"/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实际工作完成率和应完成工作的比率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sz w:val="16"/>
                <w:szCs w:val="16"/>
              </w:rPr>
              <w:t>90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sz w:val="16"/>
                <w:szCs w:val="16"/>
              </w:rPr>
              <w:t>90%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质量指标</w:t>
            </w:r>
          </w:p>
        </w:tc>
        <w:tc>
          <w:tcPr>
            <w:tcW w:w="22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设备购置质量合格率</w:t>
            </w: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购置产品质量合格率占购置总量的比率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hint="eastAsia" w:cs="Calibri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hint="eastAsia" w:cs="Calibri"/>
                <w:color w:val="000000"/>
                <w:sz w:val="16"/>
                <w:szCs w:val="16"/>
              </w:rPr>
              <w:t>100%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时效指标</w:t>
            </w:r>
          </w:p>
        </w:tc>
        <w:tc>
          <w:tcPr>
            <w:tcW w:w="22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工作完成及时</w:t>
            </w:r>
            <w:r>
              <w:rPr>
                <w:rFonts w:hint="eastAsia" w:cs="Calibri"/>
                <w:color w:val="000000"/>
                <w:sz w:val="16"/>
                <w:szCs w:val="16"/>
              </w:rPr>
              <w:t>率</w:t>
            </w: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完成工作量占总量的比例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hint="eastAsia" w:cs="Calibri"/>
                <w:color w:val="000000"/>
                <w:sz w:val="16"/>
                <w:szCs w:val="16"/>
              </w:rPr>
              <w:t>90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cs="Calibri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100%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成本指标</w:t>
            </w:r>
          </w:p>
        </w:tc>
        <w:tc>
          <w:tcPr>
            <w:tcW w:w="22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预算执行率</w:t>
            </w: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资金完成数量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cs="Calibri"/>
                <w:color w:val="000000"/>
                <w:szCs w:val="21"/>
              </w:rPr>
            </w:pP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cs="Calibri"/>
                <w:color w:val="000000"/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6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效益指标</w:t>
            </w: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经济效益指标</w:t>
            </w:r>
          </w:p>
        </w:tc>
        <w:tc>
          <w:tcPr>
            <w:tcW w:w="22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业务保障能力提升情况</w:t>
            </w: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业务保障能力提升情况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cs="Calibri"/>
                <w:color w:val="000000"/>
                <w:szCs w:val="21"/>
              </w:rPr>
            </w:pP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cs="Calibri"/>
                <w:color w:val="000000"/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社会效益指标</w:t>
            </w:r>
          </w:p>
        </w:tc>
        <w:tc>
          <w:tcPr>
            <w:tcW w:w="22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实现社会公平正义</w:t>
            </w: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对受到侵害无法得到有效赔偿的当事人，由国家给予适当经济资助，帮助摆脱生活困境，实现社会公平正义，促进社会和谐稳定，维护司法权威和公信力。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hint="eastAsia" w:cs="Calibri"/>
                <w:color w:val="000000"/>
                <w:sz w:val="16"/>
                <w:szCs w:val="16"/>
              </w:rPr>
              <w:t>文字描述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cs="Calibri"/>
                <w:color w:val="000000"/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满意度指标</w:t>
            </w: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满意度指标</w:t>
            </w:r>
          </w:p>
        </w:tc>
        <w:tc>
          <w:tcPr>
            <w:tcW w:w="22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服务对象满意度</w:t>
            </w:r>
          </w:p>
        </w:tc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群众良好的满意程度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cs="Calibri"/>
                <w:color w:val="000000"/>
                <w:szCs w:val="21"/>
              </w:rPr>
            </w:pP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cs="Calibri"/>
                <w:color w:val="000000"/>
                <w:szCs w:val="21"/>
              </w:rPr>
            </w:pPr>
            <w:r>
              <w:rPr>
                <w:rFonts w:hint="eastAsia" w:cs="Calibri"/>
                <w:color w:val="000000"/>
                <w:szCs w:val="21"/>
              </w:rPr>
              <w:t>98%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8" w:hRule="atLeast"/>
        </w:trPr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五、绩效目标执行出现的偏差和采取的措施</w:t>
            </w:r>
          </w:p>
        </w:tc>
        <w:tc>
          <w:tcPr>
            <w:tcW w:w="774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进一步完善预算支出，加快支出进度</w:t>
            </w:r>
          </w:p>
        </w:tc>
      </w:tr>
    </w:tbl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>
      <w:pPr>
        <w:spacing w:line="560" w:lineRule="exact"/>
        <w:ind w:firstLine="64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我部门对该项目经费进行核查，对相关文件、申报资料等资料进行收集整理，查询相关记账凭证进行核实、汇总，结合具体项目内容，设计绩效评价指标体系，真实、完整、全面的评价项目的实施纪完成情况。</w:t>
      </w:r>
    </w:p>
    <w:p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说明评价资料收集、评价过程、评价工作管理组织等情况。</w:t>
      </w:r>
    </w:p>
    <w:p>
      <w:pPr>
        <w:numPr>
          <w:ilvl w:val="0"/>
          <w:numId w:val="1"/>
        </w:numPr>
        <w:spacing w:line="560" w:lineRule="exact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>
      <w:pPr>
        <w:spacing w:line="560" w:lineRule="exact"/>
        <w:ind w:left="113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仿宋" w:hAnsi="仿宋" w:eastAsia="仿宋"/>
          <w:sz w:val="32"/>
          <w:szCs w:val="32"/>
        </w:rPr>
        <w:t>本次绩效采用资料整理法，通过对相关记账凭证等财务资料查阅、核实、汇总分析，评价项目资金使用的规范性、支出范围的相关性和合理性等指标。通过以上方法，在资金使用方面，严格按照财务制度支付，符合项目资金使用的规范性、支出范围的相关性和合理性等指标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三、部门整体支出绩效目标实现情况及指标分析</w:t>
      </w:r>
    </w:p>
    <w:p>
      <w:pPr>
        <w:numPr>
          <w:ilvl w:val="0"/>
          <w:numId w:val="2"/>
        </w:numPr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总体绩效目标实现情况</w:t>
      </w:r>
    </w:p>
    <w:p>
      <w:pPr>
        <w:numPr>
          <w:ilvl w:val="0"/>
          <w:numId w:val="2"/>
        </w:numPr>
        <w:spacing w:line="600" w:lineRule="exact"/>
        <w:ind w:firstLine="640"/>
        <w:rPr>
          <w:rFonts w:ascii="仿宋" w:hAnsi="仿宋" w:eastAsia="仿宋"/>
          <w:sz w:val="32"/>
        </w:rPr>
      </w:pPr>
      <w:r>
        <w:rPr>
          <w:rFonts w:ascii="仿宋" w:hAnsi="仿宋" w:eastAsia="仿宋"/>
          <w:sz w:val="32"/>
        </w:rPr>
        <w:t>以习近平新时代中国特色社会主义思想为指导，深入贯彻党的</w:t>
      </w:r>
      <w:r>
        <w:rPr>
          <w:rFonts w:hint="eastAsia" w:ascii="仿宋" w:hAnsi="仿宋" w:eastAsia="仿宋"/>
          <w:sz w:val="32"/>
        </w:rPr>
        <w:t>二十</w:t>
      </w:r>
      <w:r>
        <w:rPr>
          <w:rFonts w:ascii="仿宋" w:hAnsi="仿宋" w:eastAsia="仿宋"/>
          <w:sz w:val="32"/>
        </w:rPr>
        <w:t>大精神，以建设“经济强区、美丽长安”为目标，以打造更高层次的平安建设为突破,着力抓好安全维稳、扫黑除恶、司法改革、司法公正、社会治安综合治理、政法党建等重点工作，不断深化平安建设、法治建设、过硬队伍建设和政法智能化建设，全区城乡网格化管理覆盖率达不低于90％，农村治安保险投保率达到100％，重性精神障碍患者监护人责任险达到100％，严重精神障碍患者“以奖代补”发放率达到100％，政法网全年网络设备稳定运行的累积时间达到8760小时，社区戒毒康复工作站建设完成率不低于80%，安保维稳任务完成率不低于80%。拨付政法部门大要案经费到位率达到100%，涉法涉诉案件化解率不低于80%，非正常进京访案件化解率80%，国家司法救助实现应救必救，不断提升人民群众的获得感、幸福感、安全感，为全区经济社会发展营造和谐稳定的社会氛围。</w:t>
      </w:r>
    </w:p>
    <w:p>
      <w:pPr>
        <w:spacing w:line="560" w:lineRule="exact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（二）分项绩效目标实现情况及指标分析</w:t>
      </w:r>
    </w:p>
    <w:p>
      <w:pPr>
        <w:spacing w:line="600" w:lineRule="exact"/>
        <w:ind w:firstLine="640"/>
        <w:rPr>
          <w:rFonts w:ascii="黑体" w:hAnsi="黑体" w:eastAsia="黑体"/>
          <w:sz w:val="32"/>
        </w:rPr>
      </w:pPr>
      <w:r>
        <w:rPr>
          <w:rFonts w:ascii="黑体" w:hAnsi="黑体" w:eastAsia="黑体"/>
          <w:sz w:val="32"/>
        </w:rPr>
        <w:t>1、维护全区社会稳定和政治安定</w:t>
      </w:r>
    </w:p>
    <w:p>
      <w:pPr>
        <w:spacing w:line="600" w:lineRule="exact"/>
        <w:ind w:firstLine="640"/>
        <w:rPr>
          <w:rFonts w:ascii="仿宋" w:hAnsi="仿宋" w:eastAsia="仿宋"/>
          <w:color w:val="000000"/>
          <w:sz w:val="32"/>
        </w:rPr>
      </w:pPr>
      <w:r>
        <w:rPr>
          <w:rFonts w:ascii="仿宋" w:hAnsi="仿宋" w:eastAsia="仿宋"/>
          <w:color w:val="000000"/>
          <w:sz w:val="32"/>
        </w:rPr>
        <w:t>绩效目标：加强组织领导，与公安分局等区直部门、区政法各部门密切协作，维护全区社会稳定和政治安定。</w:t>
      </w:r>
    </w:p>
    <w:p>
      <w:pPr>
        <w:spacing w:line="600" w:lineRule="exact"/>
        <w:ind w:firstLine="640"/>
        <w:rPr>
          <w:rFonts w:ascii="仿宋" w:hAnsi="仿宋" w:eastAsia="仿宋"/>
          <w:sz w:val="32"/>
        </w:rPr>
      </w:pPr>
      <w:r>
        <w:rPr>
          <w:rFonts w:ascii="仿宋" w:hAnsi="仿宋" w:eastAsia="仿宋"/>
          <w:color w:val="000000"/>
          <w:sz w:val="32"/>
        </w:rPr>
        <w:t>绩效指标：做好敏感时间节点和重大活动期间的安保维稳工作，切实维护政治安定，安保活动圆满完成情况占比达到80%以上；有效防范化解影响社会稳定的群体性事件，协调指导做好已发生群体性事件的化解处置工作，协调督导事项化解率达到85%以上；做好安保维稳日常工作，工作完成率达到90%以上</w:t>
      </w:r>
      <w:r>
        <w:rPr>
          <w:rFonts w:ascii="仿宋" w:hAnsi="仿宋" w:eastAsia="仿宋"/>
          <w:sz w:val="32"/>
        </w:rPr>
        <w:t>。</w:t>
      </w:r>
    </w:p>
    <w:p>
      <w:pPr>
        <w:spacing w:line="600" w:lineRule="exact"/>
        <w:ind w:firstLine="640"/>
        <w:rPr>
          <w:rFonts w:ascii="黑体" w:hAnsi="黑体" w:eastAsia="黑体"/>
          <w:sz w:val="32"/>
        </w:rPr>
      </w:pPr>
      <w:r>
        <w:rPr>
          <w:rFonts w:ascii="黑体" w:hAnsi="黑体" w:eastAsia="黑体"/>
          <w:sz w:val="32"/>
        </w:rPr>
        <w:t>2、加强社会治安综合治理</w:t>
      </w:r>
    </w:p>
    <w:p>
      <w:pPr>
        <w:spacing w:line="600" w:lineRule="exact"/>
        <w:ind w:firstLine="640"/>
        <w:rPr>
          <w:rFonts w:ascii="仿宋" w:hAnsi="仿宋" w:eastAsia="仿宋"/>
          <w:sz w:val="32"/>
        </w:rPr>
      </w:pPr>
      <w:r>
        <w:rPr>
          <w:rFonts w:ascii="仿宋" w:hAnsi="仿宋" w:eastAsia="仿宋"/>
          <w:sz w:val="32"/>
        </w:rPr>
        <w:t>绩效目标:提升平安建设水平，维护社会稳定。夯实综治工作基础，提升综治维稳工作能力，增强人民群众获得感、幸福感、安全感。</w:t>
      </w:r>
    </w:p>
    <w:p>
      <w:pPr>
        <w:spacing w:line="600" w:lineRule="exact"/>
        <w:ind w:firstLine="640"/>
        <w:rPr>
          <w:rFonts w:ascii="仿宋" w:hAnsi="仿宋" w:eastAsia="仿宋"/>
          <w:sz w:val="32"/>
        </w:rPr>
      </w:pPr>
      <w:r>
        <w:rPr>
          <w:rFonts w:ascii="仿宋" w:hAnsi="仿宋" w:eastAsia="仿宋"/>
          <w:sz w:val="32"/>
        </w:rPr>
        <w:t>绩效指标:完成区级综治中心省级示范点建设；开展1次及以上基层综治维稳干部培训；开展4次及以上会议、调研及基层创安等工作；开展1次及以上重要时期专护路任务，按照上级统一安排部署，拟安装272部人脸识别摄像机用于本区铁路护路联防工作；推进4次及以上治安突出问题专项打击整治行动；每季度至少1次开展社会治安稳定形势分析研判;对全区见义勇为行为人的救治、表彰和奖励，开展1次见义勇为行为人及亲属的抚恤、资助和慰问，开展1次见义勇为先进事迹的宣传；完成戒毒康复中心新址建设及整体搬迁，推动全区社区戒毒康复工作室、工作站建设不低于80%；农村治安保险投保率达到100％，重性精神障碍患者监护人责任险达到100％，严重精神障碍患者“以奖代补”发放率达到100％；中央、省、市挂账督办案件解决率达到100％及以上，全市城乡网格化管理覆盖率达到90％及以上，矛盾纠纷排</w:t>
      </w:r>
      <w:bookmarkStart w:id="0" w:name="_GoBack"/>
      <w:bookmarkEnd w:id="0"/>
      <w:r>
        <w:rPr>
          <w:rFonts w:hint="eastAsia" w:ascii="仿宋" w:hAnsi="仿宋" w:eastAsia="仿宋"/>
          <w:sz w:val="32"/>
          <w:lang w:eastAsia="zh-CN"/>
        </w:rPr>
        <w:t>查</w:t>
      </w:r>
      <w:r>
        <w:rPr>
          <w:rFonts w:ascii="仿宋" w:hAnsi="仿宋" w:eastAsia="仿宋"/>
          <w:sz w:val="32"/>
        </w:rPr>
        <w:t>率达到95％及以上，重点人员管控率达到90％及以上;中央、省、市开展群众安全感满意度达到90％及以上。</w:t>
      </w:r>
    </w:p>
    <w:p>
      <w:pPr>
        <w:spacing w:line="600" w:lineRule="exact"/>
        <w:ind w:firstLine="640"/>
        <w:rPr>
          <w:rFonts w:ascii="黑体" w:hAnsi="黑体" w:eastAsia="黑体"/>
          <w:sz w:val="32"/>
        </w:rPr>
      </w:pPr>
      <w:r>
        <w:rPr>
          <w:rFonts w:ascii="黑体" w:hAnsi="黑体" w:eastAsia="黑体"/>
          <w:sz w:val="32"/>
        </w:rPr>
        <w:t>3、提升综治中心实战应用水平</w:t>
      </w:r>
    </w:p>
    <w:p>
      <w:pPr>
        <w:spacing w:line="600" w:lineRule="exact"/>
        <w:ind w:firstLine="640"/>
        <w:rPr>
          <w:rFonts w:ascii="仿宋" w:hAnsi="仿宋" w:eastAsia="仿宋"/>
          <w:sz w:val="32"/>
        </w:rPr>
      </w:pPr>
      <w:r>
        <w:rPr>
          <w:rFonts w:ascii="仿宋" w:hAnsi="仿宋" w:eastAsia="仿宋"/>
          <w:sz w:val="32"/>
        </w:rPr>
        <w:t>绩效目标：保证政法网设备稳定运行，保障政法网节点网络连通率；开展视频巡查巡视，提升综治中心实战应用水平。</w:t>
      </w:r>
    </w:p>
    <w:p>
      <w:pPr>
        <w:spacing w:line="600" w:lineRule="exact"/>
        <w:ind w:firstLine="640"/>
        <w:rPr>
          <w:rFonts w:ascii="仿宋" w:hAnsi="仿宋" w:eastAsia="仿宋"/>
          <w:sz w:val="32"/>
        </w:rPr>
      </w:pPr>
      <w:r>
        <w:rPr>
          <w:rFonts w:ascii="仿宋" w:hAnsi="仿宋" w:eastAsia="仿宋"/>
          <w:sz w:val="32"/>
        </w:rPr>
        <w:t>绩效指标:政法网全年网络设备稳定运行的累积时间达到8760小时；每月至少开展1次视频值守；每月至少开展1次政法网、综治信息系统维护；开展会议、值班备勤等日常工作不少于6次;中央、省、市开展群众安全感满意度达到90％及以上。</w:t>
      </w:r>
    </w:p>
    <w:p>
      <w:pPr>
        <w:spacing w:line="600" w:lineRule="exact"/>
        <w:rPr>
          <w:rFonts w:ascii="仿宋" w:hAnsi="仿宋" w:eastAsia="仿宋"/>
          <w:sz w:val="32"/>
        </w:rPr>
      </w:pPr>
      <w:r>
        <w:rPr>
          <w:rFonts w:ascii="黑体" w:hAnsi="黑体" w:eastAsia="黑体"/>
          <w:color w:val="0000FF"/>
          <w:sz w:val="32"/>
        </w:rPr>
        <w:t xml:space="preserve">  </w:t>
      </w:r>
      <w:r>
        <w:rPr>
          <w:rFonts w:ascii="仿宋" w:hAnsi="仿宋" w:eastAsia="仿宋"/>
          <w:sz w:val="32"/>
        </w:rPr>
        <w:t xml:space="preserve">  </w:t>
      </w:r>
      <w:r>
        <w:rPr>
          <w:rFonts w:ascii="黑体" w:hAnsi="黑体" w:eastAsia="黑体"/>
          <w:sz w:val="32"/>
        </w:rPr>
        <w:t>4、维护司法公正</w:t>
      </w:r>
    </w:p>
    <w:p>
      <w:pPr>
        <w:spacing w:line="600" w:lineRule="exact"/>
        <w:ind w:firstLine="640"/>
        <w:rPr>
          <w:rFonts w:ascii="仿宋" w:hAnsi="仿宋" w:eastAsia="仿宋"/>
          <w:sz w:val="32"/>
        </w:rPr>
      </w:pPr>
      <w:r>
        <w:rPr>
          <w:rFonts w:ascii="仿宋" w:hAnsi="仿宋" w:eastAsia="仿宋"/>
          <w:sz w:val="32"/>
        </w:rPr>
        <w:t>绩效目标： 确保政法各项办案任务顺利完成，有效打击各种犯罪和涉黑涉恶活动，维护正常的社会秩序、经济秩序和国家安全。</w:t>
      </w:r>
    </w:p>
    <w:p>
      <w:pPr>
        <w:spacing w:line="600" w:lineRule="exact"/>
        <w:ind w:firstLine="640"/>
        <w:rPr>
          <w:rFonts w:ascii="仿宋" w:hAnsi="仿宋" w:eastAsia="仿宋"/>
          <w:sz w:val="32"/>
        </w:rPr>
      </w:pPr>
      <w:r>
        <w:rPr>
          <w:rFonts w:ascii="仿宋" w:hAnsi="仿宋" w:eastAsia="仿宋"/>
          <w:sz w:val="32"/>
        </w:rPr>
        <w:t>绩效指标：协调督导区直政法各部门及时侦破、限期办结大案要案、涉黑涉恶案件等，提高办案效率，有效打击各种犯罪活动，维护社会正常秩序；按照案件涉众人数、工作量等，向区级公检法部门补充拨付办案经费补贴，办案补贴拨付到位率达到100%，为案件及时侦办提供保障，确保侦办、起诉、审理效率明显提高；对于无法通过诉讼获得有效赔偿的案件当事人，统筹使用国家司法救助金，实施一次性救助救济，解决案件当事人的实际生活困难，使其能够安稳生活，减少社会矛盾和不稳定因素。</w:t>
      </w:r>
    </w:p>
    <w:p>
      <w:pPr>
        <w:spacing w:line="600" w:lineRule="exact"/>
        <w:ind w:firstLine="640"/>
        <w:rPr>
          <w:rFonts w:ascii="黑体" w:hAnsi="黑体" w:eastAsia="黑体"/>
          <w:sz w:val="32"/>
        </w:rPr>
      </w:pPr>
      <w:r>
        <w:rPr>
          <w:rFonts w:ascii="黑体" w:hAnsi="黑体" w:eastAsia="黑体"/>
          <w:sz w:val="32"/>
        </w:rPr>
        <w:t>5、化解涉法涉诉信访依法处置信访违法行为</w:t>
      </w:r>
    </w:p>
    <w:p>
      <w:pPr>
        <w:spacing w:line="600" w:lineRule="exact"/>
        <w:ind w:firstLine="640"/>
        <w:rPr>
          <w:rFonts w:ascii="仿宋" w:hAnsi="仿宋" w:eastAsia="仿宋"/>
          <w:sz w:val="32"/>
        </w:rPr>
      </w:pPr>
      <w:r>
        <w:rPr>
          <w:rFonts w:ascii="仿宋" w:hAnsi="仿宋" w:eastAsia="仿宋"/>
          <w:sz w:val="32"/>
        </w:rPr>
        <w:t>绩效目标：通过执法检查、督导考核、责任追究、对信访违法行为依法打击等制度措施，使涉法涉诉信访案件及进京越级访明显下降，中央和省、市、区挂账督办案件及时化解；不断提高政法干警办案质量，不断完善涉法涉诉案件办理化解机制，加大依法治理信访行为力度，减少进京、赴省、到市访的发生，维护社会和谐稳定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</w:rPr>
        <w:t>绩效指标：开展依法打击信访违法行为、案件评查、执法检查、专项攻坚行动等，涉法涉诉疑难复杂案件化解率80%、案件解决率80%；对每发生一起进京非正常访依法打击到位；进行督导考核、责任追究等，对问题案件责任人、办案人依法依纪追究到位，办案质量进一步提高，政法干警素质进一步提高，信访重点人稳控到位；安排专项经费保障，不断完善涉法涉诉、依法治访各项机制，确保案件有效化解，新案持续下降，80%以上的案件当事人满意，营造依法有序信访秩序，彰显社会公平正义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根据部门职责定位和各项工作履职情况进行综合评价，部门整体支出绩效总分为98分，等级为优秀。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3" w:firstLineChars="200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对项目预期的产出与效益的关注度不够。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（二）针对问题提出具体的改进措施或建议</w:t>
      </w:r>
      <w:r>
        <w:rPr>
          <w:rFonts w:hint="eastAsia" w:ascii="仿宋" w:hAnsi="仿宋" w:eastAsia="仿宋"/>
          <w:sz w:val="32"/>
          <w:szCs w:val="32"/>
        </w:rPr>
        <w:t>作为资金使用的责任单位,应当承担资金管理的主体责任,并对结果负责,提高开展绩效管理工作的积极性,提高资金使用效益，加大对项目“产出与收益”的关注度。</w:t>
      </w:r>
    </w:p>
    <w:p>
      <w:pPr>
        <w:spacing w:line="560" w:lineRule="exact"/>
        <w:ind w:firstLine="643" w:firstLineChars="200"/>
        <w:rPr>
          <w:rFonts w:ascii="仿宋" w:hAnsi="仿宋" w:eastAsia="仿宋"/>
          <w:b/>
          <w:bCs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1"/>
        <w:gridCol w:w="1811"/>
        <w:gridCol w:w="2720"/>
        <w:gridCol w:w="21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noWrap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姓名</w:t>
            </w:r>
          </w:p>
        </w:tc>
        <w:tc>
          <w:tcPr>
            <w:tcW w:w="1811" w:type="dxa"/>
            <w:noWrap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工作单位</w:t>
            </w:r>
          </w:p>
        </w:tc>
        <w:tc>
          <w:tcPr>
            <w:tcW w:w="2720" w:type="dxa"/>
            <w:noWrap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职务</w:t>
            </w:r>
          </w:p>
        </w:tc>
        <w:tc>
          <w:tcPr>
            <w:tcW w:w="2145" w:type="dxa"/>
            <w:noWrap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noWrap/>
          </w:tcPr>
          <w:p>
            <w:pPr>
              <w:adjustRightInd w:val="0"/>
              <w:spacing w:line="6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宋军伟</w:t>
            </w:r>
          </w:p>
        </w:tc>
        <w:tc>
          <w:tcPr>
            <w:tcW w:w="1811" w:type="dxa"/>
            <w:noWrap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政法委</w:t>
            </w:r>
          </w:p>
        </w:tc>
        <w:tc>
          <w:tcPr>
            <w:tcW w:w="2720" w:type="dxa"/>
            <w:noWrap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常务副书记</w:t>
            </w:r>
          </w:p>
        </w:tc>
        <w:tc>
          <w:tcPr>
            <w:tcW w:w="2145" w:type="dxa"/>
            <w:noWrap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noWrap/>
          </w:tcPr>
          <w:p>
            <w:pPr>
              <w:adjustRightInd w:val="0"/>
              <w:spacing w:line="6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许阳</w:t>
            </w:r>
          </w:p>
        </w:tc>
        <w:tc>
          <w:tcPr>
            <w:tcW w:w="1811" w:type="dxa"/>
            <w:noWrap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政法委</w:t>
            </w:r>
          </w:p>
        </w:tc>
        <w:tc>
          <w:tcPr>
            <w:tcW w:w="2720" w:type="dxa"/>
            <w:noWrap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副书记</w:t>
            </w:r>
          </w:p>
        </w:tc>
        <w:tc>
          <w:tcPr>
            <w:tcW w:w="2145" w:type="dxa"/>
            <w:noWrap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1" w:type="dxa"/>
            <w:noWrap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张会欣</w:t>
            </w:r>
          </w:p>
        </w:tc>
        <w:tc>
          <w:tcPr>
            <w:tcW w:w="1811" w:type="dxa"/>
            <w:noWrap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政法委</w:t>
            </w:r>
          </w:p>
        </w:tc>
        <w:tc>
          <w:tcPr>
            <w:tcW w:w="2720" w:type="dxa"/>
            <w:noWrap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办公室主任</w:t>
            </w:r>
          </w:p>
        </w:tc>
        <w:tc>
          <w:tcPr>
            <w:tcW w:w="2145" w:type="dxa"/>
            <w:noWrap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</w:tbl>
    <w:p>
      <w:pPr>
        <w:adjustRightInd w:val="0"/>
        <w:snapToGrid w:val="0"/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书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NGQwMTcxMTU2MDMzNmYyMzQ0ZWU0YWEwNDg4ZWM5NGMifQ=="/>
  </w:docVars>
  <w:rsids>
    <w:rsidRoot w:val="0EBD2122"/>
    <w:rsid w:val="00012960"/>
    <w:rsid w:val="000B0260"/>
    <w:rsid w:val="002443E3"/>
    <w:rsid w:val="00397D43"/>
    <w:rsid w:val="003F7768"/>
    <w:rsid w:val="007C6CE6"/>
    <w:rsid w:val="007E6C1F"/>
    <w:rsid w:val="009042D0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1B75BC5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1D810776"/>
    <w:rsid w:val="248C197D"/>
    <w:rsid w:val="252959AF"/>
    <w:rsid w:val="277A6671"/>
    <w:rsid w:val="292D35B7"/>
    <w:rsid w:val="33EB6CFF"/>
    <w:rsid w:val="35A12947"/>
    <w:rsid w:val="37387040"/>
    <w:rsid w:val="3B625C0A"/>
    <w:rsid w:val="3CEE1963"/>
    <w:rsid w:val="4C9C27FE"/>
    <w:rsid w:val="512260B4"/>
    <w:rsid w:val="52BD6ACB"/>
    <w:rsid w:val="55537534"/>
    <w:rsid w:val="561A74F1"/>
    <w:rsid w:val="597244E8"/>
    <w:rsid w:val="59AA682C"/>
    <w:rsid w:val="5EB71C30"/>
    <w:rsid w:val="66AF0CE5"/>
    <w:rsid w:val="6AC537CF"/>
    <w:rsid w:val="6E5B14A6"/>
    <w:rsid w:val="711B255E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8</Pages>
  <Words>651</Words>
  <Characters>3714</Characters>
  <Lines>30</Lines>
  <Paragraphs>8</Paragraphs>
  <TotalTime>84</TotalTime>
  <ScaleCrop>false</ScaleCrop>
  <LinksUpToDate>false</LinksUpToDate>
  <CharactersWithSpaces>4357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阳</cp:lastModifiedBy>
  <cp:lastPrinted>2022-01-19T07:24:00Z</cp:lastPrinted>
  <dcterms:modified xsi:type="dcterms:W3CDTF">2024-02-22T14:52:35Z</dcterms:modified>
  <dc:title>附件3：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22CF28F50C7C45BCB84CA50908699286</vt:lpwstr>
  </property>
</Properties>
</file>