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长安区财政局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2022年度整体支出绩效自评报告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长安区财政局</w:t>
      </w:r>
      <w:r>
        <w:rPr>
          <w:rFonts w:hint="eastAsia" w:ascii="仿宋_GB2312" w:hAnsi="仿宋_GB2312" w:eastAsia="仿宋_GB2312" w:cs="仿宋_GB2312"/>
          <w:sz w:val="32"/>
          <w:szCs w:val="32"/>
        </w:rPr>
        <w:t>2022年整体支出情况实施了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sz w:val="32"/>
          <w:szCs w:val="32"/>
        </w:rPr>
        <w:t>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360" w:lineRule="auto"/>
        <w:ind w:left="0" w:right="0"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t>石家庄市长安区财政局为行政机关，正科级单位，财政预算全额拨款单位，财务核算适用行政单位会计制度。我局为切实开展绩效评价工作，加强对单位整体支出自评工作的领导，成立了专门的绩效评价领导小组，由分管财务的副局长任组长，各相关科（室）科长任组员。领导小组收集查看相关资料、检查财务会计记录等自查自评工作，对2022年整体支出进行了全面的梳理检查和自我评价。</w:t>
      </w:r>
    </w:p>
    <w:p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t>2022年长安区财政局预算安排财政拨款收入1337.02万元，预算支出合计1337.02万元。2021年长安区财政局预算安排财政拨款收入1208.01万元，预算支出合计1208.01万元。2022年比2021年预算安排增加资金129.01万元，增幅10.68%，主要是人员经费增加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（三）部门整体支出绩效目标、指标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坚持以习近平新时代中国特色社会主义思想为指导，全面贯彻党的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二十大</w:t>
      </w:r>
      <w:r>
        <w:rPr>
          <w:rFonts w:hint="eastAsia" w:ascii="仿宋_GB2312" w:hAnsi="仿宋_GB2312" w:eastAsia="仿宋_GB2312" w:cs="仿宋_GB2312"/>
          <w:sz w:val="32"/>
          <w:szCs w:val="32"/>
        </w:rPr>
        <w:t>和中央经济工作会议精神，紧紧围绕省委、市委全会具体部署和要求，坚持稳中求进工作总基调，构建新发展格局，以推动高质量发展为主题，以深化供给侧结构性改革为主线，以满足人民日益增长的美好生活需要为根本目的，落实提质增效的积极财政政策，扎实推进财税改革，着力化解财政风险，保持适度支出强度，增强财政政策可持续性，确保“十四五”开好局、起好步，以优异成绩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二十大开局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方正仿宋_GBK" w:cs="Times New Roman"/>
          <w:b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b/>
          <w:sz w:val="32"/>
          <w:szCs w:val="32"/>
        </w:rPr>
        <w:t>（二）分项绩效目标</w:t>
      </w:r>
      <w:r>
        <w:rPr>
          <w:rFonts w:hint="eastAsia" w:ascii="Times New Roman" w:hAnsi="Times New Roman" w:eastAsia="方正仿宋_GBK" w:cs="Times New Roman"/>
          <w:b/>
          <w:sz w:val="32"/>
          <w:szCs w:val="32"/>
        </w:rPr>
        <w:fldChar w:fldCharType="begin"/>
      </w:r>
      <w:r>
        <w:rPr>
          <w:rFonts w:hint="eastAsia" w:ascii="Times New Roman" w:hAnsi="Times New Roman" w:eastAsia="方正仿宋_GBK" w:cs="Times New Roman"/>
          <w:b/>
          <w:sz w:val="32"/>
          <w:szCs w:val="32"/>
        </w:rPr>
        <w:instrText xml:space="preserve"> TC </w:instrText>
      </w:r>
      <w:bookmarkStart w:id="0" w:name="_Toc29484629"/>
      <w:r>
        <w:rPr>
          <w:rFonts w:hint="eastAsia" w:ascii="Times New Roman" w:hAnsi="Times New Roman" w:eastAsia="方正仿宋_GBK" w:cs="Times New Roman"/>
          <w:b/>
          <w:sz w:val="32"/>
          <w:szCs w:val="32"/>
        </w:rPr>
        <w:instrText xml:space="preserve">分项绩效目标</w:instrText>
      </w:r>
      <w:bookmarkEnd w:id="0"/>
      <w:r>
        <w:rPr>
          <w:rFonts w:hint="eastAsia" w:ascii="Times New Roman" w:hAnsi="Times New Roman" w:eastAsia="方正仿宋_GBK" w:cs="Times New Roman"/>
          <w:b/>
          <w:sz w:val="32"/>
          <w:szCs w:val="32"/>
        </w:rPr>
        <w:instrText xml:space="preserve"> \f A \l 1 </w:instrText>
      </w:r>
      <w:r>
        <w:rPr>
          <w:rFonts w:hint="eastAsia" w:ascii="Times New Roman" w:hAnsi="Times New Roman" w:eastAsia="方正仿宋_GBK" w:cs="Times New Roman"/>
          <w:b/>
          <w:sz w:val="32"/>
          <w:szCs w:val="32"/>
        </w:rPr>
        <w:fldChar w:fldCharType="end"/>
      </w:r>
    </w:p>
    <w:p>
      <w:pPr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（一）实现财政收入平稳健康增长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绩效目标：精准研判财经形势，坚持依法组织收入，努力完成全年预期目标；积极问计省直，科学谋划项目，争取上级政策和资金支持取得新突破。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绩效指标：全市一般公共预算收入预期增长 7%左右，向上争取资金增幅超过全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</w:rPr>
        <w:t>设区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（县）</w:t>
      </w:r>
      <w:r>
        <w:rPr>
          <w:rFonts w:hint="eastAsia" w:ascii="仿宋_GB2312" w:hAnsi="仿宋_GB2312" w:eastAsia="仿宋_GB2312" w:cs="仿宋_GB2312"/>
          <w:sz w:val="32"/>
          <w:szCs w:val="32"/>
        </w:rPr>
        <w:t>平均水平。</w:t>
      </w:r>
    </w:p>
    <w:p>
      <w:pPr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（二）财政调控能力进一步增强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目标：落实提质增效的积极财政政策，进一步巩固减税降费成果，全力支持受疫情影响企业复工复产；争取地方政府债券和中央直达资金规模，保持适度支出强度，有效扩大政府投资；加强财政政策与信贷、消费、投资和就业等其他宏观经济政策的协调配合，完善政策协同、组合和传导落实机制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绩效指标：财政促进产业发展的政策措施进一步完善，助力经济高质量发展的调控作用充分发挥。</w:t>
      </w:r>
    </w:p>
    <w:p>
      <w:pPr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（三）民生保障水平进一步提升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绩效目标：全面落实各项民生政策，就业、教育、医疗、养老、低保等普惠性、基础性、兜底性民生保障水平持续提高，人民群众获得感、幸福感、安全感不断增强。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绩效指标：全市民生支出占比保持在 75%以上，惠民利民实事得到有力保障。</w:t>
      </w:r>
    </w:p>
    <w:p>
      <w:pPr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（四）政府债务风险进一步降低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绩效目标：规范政府债务管理和债券资金使用，确保完成年度化解债务规划任务，坚决遏制新增隐性债务。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绩效指标：政府债务不发生违约事件，全年不发生系统性区域性风险。</w:t>
      </w:r>
    </w:p>
    <w:p>
      <w:pPr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（五）现代财政制度进一步健全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绩效目标：深化预算绩效管理改革，建立事前评估、绩效监控、评价结果与预算安排和政策调整的挂钩机制，有效提升预算管理水平和政策实施效果。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绩效指标：财政资源配置效率和质量进一步提升，市与县（市、区）财政事权和支出责任划分更加清晰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（六）财政财务管理进一步规范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绩效目标：财政预决算公开内容完备、时间及时、科学规范，资金支出更加及时高效、均衡有序，财经纪律得到有效执行。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绩效指标：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级财政预决算在法定时限内公开，除涉密单位外，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直部门决算在财政部门批复之日起 20 日内公开，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直部门决算公开率达到 100%，财政支出达到 95%以上。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360" w:lineRule="auto"/>
        <w:ind w:left="0" w:right="0"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t>2022年区财政局开展了项目绩效自评工作。由主管领导负责统筹此次自评工作。梳理了2022年度开展的所有项目，并就实现各个项目的产出指标、预算执行率指标、效益指标、满意度指标四个方面打分，对绩效目标情况做了细致的评分。2022年共开展了5个项目，并选取了网络安全和信息化运维建设项目作为重点项目，出具重点项目报告。该项目预期绩效目标完成情况较好，达到了项目的预期目标，完成本年度对财政一体化网络的运行维护工作，购置电脑打印机等设备以保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证正常的工作，为局各科（室）提供良好的办公网络环境。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>
      <w:pPr>
        <w:widowControl w:val="0"/>
        <w:numPr>
          <w:ilvl w:val="0"/>
          <w:numId w:val="3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参照预算绩效文本中总体绩效目标，整体绩效目标基本都已实现。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分项绩效目标实现情况及指标分析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参照预算绩效文本中分项绩效目标、指标，从完成数量、质量、时效、成本效益</w:t>
      </w:r>
      <w:r>
        <w:rPr>
          <w:rFonts w:hint="eastAsia" w:ascii="仿宋" w:hAnsi="仿宋" w:eastAsia="仿宋"/>
          <w:sz w:val="32"/>
          <w:szCs w:val="32"/>
        </w:rPr>
        <w:t>等</w:t>
      </w:r>
      <w:r>
        <w:rPr>
          <w:rFonts w:hint="eastAsia" w:ascii="仿宋" w:hAnsi="仿宋" w:eastAsia="仿宋"/>
          <w:sz w:val="32"/>
          <w:szCs w:val="32"/>
          <w:lang w:eastAsia="zh-CN"/>
        </w:rPr>
        <w:t>方面</w:t>
      </w:r>
      <w:r>
        <w:rPr>
          <w:rFonts w:hint="eastAsia" w:ascii="仿宋" w:hAnsi="仿宋" w:eastAsia="仿宋"/>
          <w:sz w:val="32"/>
          <w:szCs w:val="32"/>
        </w:rPr>
        <w:t>，对</w:t>
      </w:r>
      <w:r>
        <w:rPr>
          <w:rFonts w:hint="eastAsia" w:ascii="仿宋" w:hAnsi="仿宋" w:eastAsia="仿宋"/>
          <w:sz w:val="32"/>
          <w:szCs w:val="32"/>
          <w:lang w:eastAsia="zh-CN"/>
        </w:rPr>
        <w:t>分项目标指标完成情况进行评价，指标要细化、量化，得分依据要充分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sz w:val="32"/>
          <w:szCs w:val="32"/>
        </w:rPr>
        <w:t>，给出总得分，满分100分，得出综合绩效评价等级。</w:t>
      </w:r>
      <w:r>
        <w:rPr>
          <w:rFonts w:hint="eastAsia" w:ascii="仿宋" w:hAnsi="仿宋" w:eastAsia="仿宋"/>
          <w:sz w:val="32"/>
          <w:szCs w:val="32"/>
          <w:lang w:eastAsia="zh-CN"/>
        </w:rPr>
        <w:t>部门整体支出</w:t>
      </w:r>
      <w:r>
        <w:rPr>
          <w:rFonts w:hint="eastAsia" w:ascii="仿宋" w:hAnsi="仿宋" w:eastAsia="仿宋"/>
          <w:sz w:val="32"/>
          <w:szCs w:val="32"/>
        </w:rPr>
        <w:t>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360" w:lineRule="auto"/>
        <w:ind w:left="0" w:right="0" w:firstLine="643" w:firstLineChars="200"/>
        <w:jc w:val="both"/>
        <w:rPr>
          <w:rFonts w:hint="eastAsia" w:ascii="仿宋" w:hAnsi="仿宋" w:eastAsia="仿宋" w:cs="仿宋"/>
          <w:b/>
          <w:sz w:val="32"/>
          <w:szCs w:val="32"/>
          <w:lang w:val="en-US"/>
        </w:rPr>
      </w:pPr>
      <w:r>
        <w:rPr>
          <w:rFonts w:hint="eastAsia" w:ascii="仿宋" w:hAnsi="仿宋" w:eastAsia="仿宋" w:cs="仿宋"/>
          <w:b/>
          <w:kern w:val="2"/>
          <w:sz w:val="32"/>
          <w:szCs w:val="32"/>
          <w:lang w:val="en-US" w:eastAsia="zh-CN" w:bidi="ar"/>
        </w:rPr>
        <w:t>1.部分项目绩效目标设置不规范。</w:t>
      </w:r>
    </w:p>
    <w:p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360" w:lineRule="auto"/>
        <w:ind w:left="0" w:right="0"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t>未能结合实际情况进行细化，导致项目绩效目标及指标与本地项目相关性不足，无法充分体现项目实施内容及预期效益水平。</w:t>
      </w:r>
    </w:p>
    <w:p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360" w:lineRule="auto"/>
        <w:ind w:left="0" w:right="0" w:firstLine="643" w:firstLineChars="200"/>
        <w:jc w:val="both"/>
        <w:rPr>
          <w:rFonts w:hint="eastAsia" w:ascii="仿宋" w:hAnsi="仿宋" w:eastAsia="仿宋" w:cs="仿宋"/>
          <w:b/>
          <w:sz w:val="32"/>
          <w:szCs w:val="32"/>
          <w:lang w:val="en-US"/>
        </w:rPr>
      </w:pPr>
      <w:r>
        <w:rPr>
          <w:rFonts w:hint="eastAsia" w:ascii="仿宋" w:hAnsi="仿宋" w:eastAsia="仿宋" w:cs="仿宋"/>
          <w:b/>
          <w:kern w:val="2"/>
          <w:sz w:val="32"/>
          <w:szCs w:val="32"/>
          <w:lang w:val="en-US" w:eastAsia="zh-CN" w:bidi="ar"/>
        </w:rPr>
        <w:t>2.项目执行进度慢，影响资金使用效益。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t>部分项目执行进度慢，在前期工作中，为能及时考虑到一些突发因素以及影响支出进度的事项，导致项目不能完全实施或者是实施不到位。</w:t>
      </w:r>
    </w:p>
    <w:p>
      <w:pPr>
        <w:widowControl w:val="0"/>
        <w:numPr>
          <w:ilvl w:val="0"/>
          <w:numId w:val="3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针对问题提出具体的改进措施或建议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szCs w:val="21"/>
          <w:lang w:val="en-US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t>对现有绩效目标进行完善绩效目标设臵的内容及层级体系，细化各方向的绩效目标和指标体系，并对目标值设计的科学性、合理性进行充分论证，强化以目标为导向的资金分配。建议进一步强化项目管理，实施“一项目一方案”，在项目执行前编制项目实施方案，方案中应明确项目组织管理责任、项目实施流程、时间计划安排，同时根据领域特点以及过往同类项目实施经验，总结项目实施过程中可能存在的各类风险，提前制定应对措施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六、评价工作组人员名单及签字（姓名、工作单位、职务、职称）</w:t>
      </w:r>
    </w:p>
    <w:tbl>
      <w:tblPr>
        <w:tblStyle w:val="5"/>
        <w:tblW w:w="884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10"/>
        <w:gridCol w:w="2523"/>
        <w:gridCol w:w="2428"/>
        <w:gridCol w:w="16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auto"/>
              <w:outlineLvl w:val="9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Calibri" w:eastAsia="仿宋_GB2312" w:cs="仿宋_GB2312"/>
                <w:kern w:val="2"/>
                <w:sz w:val="32"/>
                <w:szCs w:val="32"/>
                <w:lang w:val="en-US" w:eastAsia="zh-CN" w:bidi="ar"/>
              </w:rPr>
              <w:t>梁志杰</w:t>
            </w:r>
          </w:p>
        </w:tc>
        <w:tc>
          <w:tcPr>
            <w:tcW w:w="25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auto"/>
              <w:outlineLvl w:val="9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Calibri" w:eastAsia="仿宋_GB2312" w:cs="仿宋_GB2312"/>
                <w:kern w:val="2"/>
                <w:sz w:val="32"/>
                <w:szCs w:val="32"/>
                <w:lang w:val="en-US" w:eastAsia="zh-CN" w:bidi="ar"/>
              </w:rPr>
              <w:t>长安区财政局</w:t>
            </w:r>
          </w:p>
        </w:tc>
        <w:tc>
          <w:tcPr>
            <w:tcW w:w="2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auto"/>
              <w:outlineLvl w:val="9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Calibri" w:eastAsia="仿宋_GB2312" w:cs="仿宋_GB2312"/>
                <w:kern w:val="2"/>
                <w:sz w:val="32"/>
                <w:szCs w:val="32"/>
                <w:lang w:val="en-US" w:eastAsia="zh-CN" w:bidi="ar"/>
              </w:rPr>
              <w:t>信息中心主任</w:t>
            </w:r>
          </w:p>
        </w:tc>
        <w:tc>
          <w:tcPr>
            <w:tcW w:w="16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auto"/>
              <w:outlineLvl w:val="9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auto"/>
              <w:outlineLvl w:val="9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eastAsia="仿宋_GB2312" w:cs="仿宋_GB2312"/>
                <w:kern w:val="2"/>
                <w:sz w:val="32"/>
                <w:szCs w:val="32"/>
                <w:lang w:val="en-US" w:eastAsia="zh-CN" w:bidi="ar"/>
              </w:rPr>
              <w:t>张晓</w:t>
            </w:r>
          </w:p>
        </w:tc>
        <w:tc>
          <w:tcPr>
            <w:tcW w:w="25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auto"/>
              <w:outlineLvl w:val="9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Calibri" w:eastAsia="仿宋_GB2312" w:cs="仿宋_GB2312"/>
                <w:kern w:val="2"/>
                <w:sz w:val="32"/>
                <w:szCs w:val="32"/>
                <w:lang w:val="en-US" w:eastAsia="zh-CN" w:bidi="ar"/>
              </w:rPr>
              <w:t>长安区财政局</w:t>
            </w:r>
          </w:p>
        </w:tc>
        <w:tc>
          <w:tcPr>
            <w:tcW w:w="2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auto"/>
              <w:outlineLvl w:val="9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Calibri" w:eastAsia="仿宋_GB2312" w:cs="仿宋_GB2312"/>
                <w:kern w:val="2"/>
                <w:sz w:val="32"/>
                <w:szCs w:val="32"/>
                <w:lang w:val="en-US" w:eastAsia="zh-CN" w:bidi="ar"/>
              </w:rPr>
              <w:t>行财</w:t>
            </w:r>
            <w:r>
              <w:rPr>
                <w:rFonts w:hint="eastAsia" w:ascii="仿宋_GB2312" w:eastAsia="仿宋_GB2312" w:cs="仿宋_GB2312"/>
                <w:kern w:val="2"/>
                <w:sz w:val="32"/>
                <w:szCs w:val="32"/>
                <w:lang w:val="en-US" w:eastAsia="zh-CN" w:bidi="ar"/>
              </w:rPr>
              <w:t>股股</w:t>
            </w:r>
            <w:r>
              <w:rPr>
                <w:rFonts w:hint="eastAsia" w:ascii="仿宋_GB2312" w:hAnsi="Calibri" w:eastAsia="仿宋_GB2312" w:cs="仿宋_GB2312"/>
                <w:kern w:val="2"/>
                <w:sz w:val="32"/>
                <w:szCs w:val="32"/>
                <w:lang w:val="en-US" w:eastAsia="zh-CN" w:bidi="ar"/>
              </w:rPr>
              <w:t>长</w:t>
            </w:r>
          </w:p>
        </w:tc>
        <w:tc>
          <w:tcPr>
            <w:tcW w:w="16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auto"/>
              <w:outlineLvl w:val="9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auto"/>
              <w:outlineLvl w:val="9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Calibri" w:eastAsia="仿宋_GB2312" w:cs="仿宋_GB2312"/>
                <w:kern w:val="2"/>
                <w:sz w:val="32"/>
                <w:szCs w:val="32"/>
                <w:lang w:val="en-US" w:eastAsia="zh-CN" w:bidi="ar"/>
              </w:rPr>
              <w:t>何晓岚</w:t>
            </w:r>
          </w:p>
        </w:tc>
        <w:tc>
          <w:tcPr>
            <w:tcW w:w="25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auto"/>
              <w:outlineLvl w:val="9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Calibri" w:eastAsia="仿宋_GB2312" w:cs="仿宋_GB2312"/>
                <w:kern w:val="2"/>
                <w:sz w:val="32"/>
                <w:szCs w:val="32"/>
                <w:lang w:val="en-US" w:eastAsia="zh-CN" w:bidi="ar"/>
              </w:rPr>
              <w:t>长安区财政局</w:t>
            </w:r>
          </w:p>
        </w:tc>
        <w:tc>
          <w:tcPr>
            <w:tcW w:w="2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auto"/>
              <w:outlineLvl w:val="9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Calibri" w:eastAsia="仿宋_GB2312" w:cs="仿宋_GB2312"/>
                <w:kern w:val="2"/>
                <w:sz w:val="32"/>
                <w:szCs w:val="32"/>
                <w:lang w:val="en-US" w:eastAsia="zh-CN" w:bidi="ar"/>
              </w:rPr>
              <w:t>监督</w:t>
            </w:r>
            <w:r>
              <w:rPr>
                <w:rFonts w:hint="eastAsia" w:ascii="仿宋_GB2312" w:eastAsia="仿宋_GB2312" w:cs="仿宋_GB2312"/>
                <w:kern w:val="2"/>
                <w:sz w:val="32"/>
                <w:szCs w:val="32"/>
                <w:lang w:val="en-US" w:eastAsia="zh-CN" w:bidi="ar"/>
              </w:rPr>
              <w:t>股股</w:t>
            </w:r>
            <w:r>
              <w:rPr>
                <w:rFonts w:hint="eastAsia" w:ascii="仿宋_GB2312" w:hAnsi="Calibri" w:eastAsia="仿宋_GB2312" w:cs="仿宋_GB2312"/>
                <w:kern w:val="2"/>
                <w:sz w:val="32"/>
                <w:szCs w:val="32"/>
                <w:lang w:val="en-US" w:eastAsia="zh-CN" w:bidi="ar"/>
              </w:rPr>
              <w:t>长</w:t>
            </w:r>
          </w:p>
        </w:tc>
        <w:tc>
          <w:tcPr>
            <w:tcW w:w="16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auto"/>
              <w:outlineLvl w:val="9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auto"/>
              <w:outlineLvl w:val="9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eastAsia="仿宋_GB2312" w:cs="仿宋_GB2312"/>
                <w:kern w:val="2"/>
                <w:sz w:val="32"/>
                <w:szCs w:val="32"/>
                <w:lang w:val="en-US" w:eastAsia="zh-CN" w:bidi="ar"/>
              </w:rPr>
              <w:t>师双双</w:t>
            </w:r>
          </w:p>
        </w:tc>
        <w:tc>
          <w:tcPr>
            <w:tcW w:w="25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auto"/>
              <w:outlineLvl w:val="9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Calibri" w:eastAsia="仿宋_GB2312" w:cs="仿宋_GB2312"/>
                <w:kern w:val="2"/>
                <w:sz w:val="32"/>
                <w:szCs w:val="32"/>
                <w:lang w:val="en-US" w:eastAsia="zh-CN" w:bidi="ar"/>
              </w:rPr>
              <w:t>长安区财政局</w:t>
            </w:r>
          </w:p>
        </w:tc>
        <w:tc>
          <w:tcPr>
            <w:tcW w:w="2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auto"/>
              <w:outlineLvl w:val="9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Calibri" w:eastAsia="仿宋_GB2312" w:cs="仿宋_GB2312"/>
                <w:kern w:val="2"/>
                <w:sz w:val="32"/>
                <w:szCs w:val="32"/>
                <w:lang w:val="en-US" w:eastAsia="zh-CN" w:bidi="ar"/>
              </w:rPr>
              <w:t>预算</w:t>
            </w:r>
            <w:r>
              <w:rPr>
                <w:rFonts w:hint="eastAsia" w:ascii="仿宋_GB2312" w:eastAsia="仿宋_GB2312" w:cs="仿宋_GB2312"/>
                <w:kern w:val="2"/>
                <w:sz w:val="32"/>
                <w:szCs w:val="32"/>
                <w:lang w:val="en-US" w:eastAsia="zh-CN" w:bidi="ar"/>
              </w:rPr>
              <w:t>股</w:t>
            </w:r>
            <w:r>
              <w:rPr>
                <w:rFonts w:hint="eastAsia" w:ascii="仿宋_GB2312" w:hAnsi="Calibri" w:eastAsia="仿宋_GB2312" w:cs="仿宋_GB2312"/>
                <w:kern w:val="2"/>
                <w:sz w:val="32"/>
                <w:szCs w:val="32"/>
                <w:lang w:val="en-US" w:eastAsia="zh-CN" w:bidi="ar"/>
              </w:rPr>
              <w:t>科员</w:t>
            </w:r>
          </w:p>
        </w:tc>
        <w:tc>
          <w:tcPr>
            <w:tcW w:w="16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auto"/>
              <w:outlineLvl w:val="9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2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auto"/>
              <w:outlineLvl w:val="9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Calibri" w:eastAsia="仿宋_GB2312" w:cs="仿宋_GB2312"/>
                <w:kern w:val="2"/>
                <w:sz w:val="32"/>
                <w:szCs w:val="32"/>
                <w:lang w:val="en-US" w:eastAsia="zh-CN" w:bidi="ar"/>
              </w:rPr>
              <w:t>李彦楠</w:t>
            </w:r>
          </w:p>
        </w:tc>
        <w:tc>
          <w:tcPr>
            <w:tcW w:w="25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auto"/>
              <w:outlineLvl w:val="9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Calibri" w:eastAsia="仿宋_GB2312" w:cs="仿宋_GB2312"/>
                <w:kern w:val="2"/>
                <w:sz w:val="32"/>
                <w:szCs w:val="32"/>
                <w:lang w:val="en-US" w:eastAsia="zh-CN" w:bidi="ar"/>
              </w:rPr>
              <w:t>长安区财政局</w:t>
            </w:r>
          </w:p>
        </w:tc>
        <w:tc>
          <w:tcPr>
            <w:tcW w:w="2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ind w:left="0" w:right="0"/>
              <w:jc w:val="both"/>
              <w:textAlignment w:val="auto"/>
              <w:outlineLvl w:val="9"/>
              <w:rPr>
                <w:rFonts w:hint="eastAsia" w:ascii="仿宋_GB2312" w:eastAsia="仿宋_GB2312" w:cs="仿宋_GB2312"/>
                <w:sz w:val="32"/>
                <w:szCs w:val="32"/>
                <w:lang w:val="en-US"/>
              </w:rPr>
            </w:pPr>
            <w:r>
              <w:rPr>
                <w:rFonts w:hint="eastAsia" w:ascii="仿宋_GB2312" w:hAnsi="Calibri" w:eastAsia="仿宋_GB2312" w:cs="仿宋_GB2312"/>
                <w:kern w:val="2"/>
                <w:sz w:val="32"/>
                <w:szCs w:val="32"/>
                <w:lang w:val="en-US" w:eastAsia="zh-CN" w:bidi="ar"/>
              </w:rPr>
              <w:t>国库</w:t>
            </w:r>
            <w:r>
              <w:rPr>
                <w:rFonts w:hint="eastAsia" w:ascii="仿宋_GB2312" w:eastAsia="仿宋_GB2312" w:cs="仿宋_GB2312"/>
                <w:kern w:val="2"/>
                <w:sz w:val="32"/>
                <w:szCs w:val="32"/>
                <w:lang w:val="en-US" w:eastAsia="zh-CN" w:bidi="ar"/>
              </w:rPr>
              <w:t>股股长</w:t>
            </w:r>
          </w:p>
        </w:tc>
        <w:tc>
          <w:tcPr>
            <w:tcW w:w="16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00" w:lineRule="exact"/>
              <w:ind w:left="0" w:right="0"/>
              <w:textAlignment w:val="auto"/>
              <w:outlineLvl w:val="9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</w:tbl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102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42D88FF7"/>
    <w:multiLevelType w:val="singleLevel"/>
    <w:tmpl w:val="42D88FF7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248C197D"/>
    <w:rsid w:val="252959AF"/>
    <w:rsid w:val="277A6671"/>
    <w:rsid w:val="292D35B7"/>
    <w:rsid w:val="2A861C7D"/>
    <w:rsid w:val="33EB6CFF"/>
    <w:rsid w:val="35A12947"/>
    <w:rsid w:val="37387040"/>
    <w:rsid w:val="3B625C0A"/>
    <w:rsid w:val="3CEE1963"/>
    <w:rsid w:val="4C9C27FE"/>
    <w:rsid w:val="512260B4"/>
    <w:rsid w:val="52BD6ACB"/>
    <w:rsid w:val="55537534"/>
    <w:rsid w:val="561A74F1"/>
    <w:rsid w:val="597244E8"/>
    <w:rsid w:val="59AA682C"/>
    <w:rsid w:val="5EB71C30"/>
    <w:rsid w:val="66AF0CE5"/>
    <w:rsid w:val="6AC537CF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100</Words>
  <Characters>570</Characters>
  <Lines>4</Lines>
  <Paragraphs>1</Paragraphs>
  <TotalTime>8</TotalTime>
  <ScaleCrop>false</ScaleCrop>
  <LinksUpToDate>false</LinksUpToDate>
  <CharactersWithSpaces>669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采蘑菇</cp:lastModifiedBy>
  <cp:lastPrinted>2023-07-07T06:44:15Z</cp:lastPrinted>
  <dcterms:modified xsi:type="dcterms:W3CDTF">2023-07-07T06:45:08Z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