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黑体" w:hAnsi="黑体" w:eastAsia="黑体" w:cs="黑体"/>
          <w:b/>
          <w:color w:val="000000"/>
          <w:sz w:val="30"/>
          <w:lang w:val="en-US" w:eastAsia="zh-CN"/>
        </w:rPr>
        <w:t xml:space="preserve"> </w:t>
      </w: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pPr/>
      <w:r>
        <w:fldChar w:fldCharType="end"/>
      </w:r>
    </w:p>
    <w:p>
      <w:pPr>
        <w:spacing w:before="0" w:after="0" w:line="240" w:lineRule="auto"/>
        <w:ind w:firstLine="0"/>
        <w:jc w:val="center"/>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Layout w:type="fixed"/>
          <w:tblCellMar>
            <w:top w:w="0" w:type="dxa"/>
            <w:left w:w="108" w:type="dxa"/>
            <w:bottom w:w="0" w:type="dxa"/>
            <w:right w:w="108" w:type="dxa"/>
          </w:tblCellMar>
        </w:tblPrEx>
        <w:trPr>
          <w:trHeight w:val="369" w:hRule="atLeast"/>
          <w:tblHeader/>
          <w:jc w:val="center"/>
        </w:trPr>
        <w:tc>
          <w:tcPr>
            <w:tcW w:w="1971"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971" w:type="dxa"/>
            <w:tcBorders>
              <w:top w:val="single" w:color="FFFFFF" w:sz="6" w:space="0"/>
              <w:left w:val="single" w:color="FFFFFF" w:sz="6" w:space="0"/>
              <w:right w:val="single" w:color="FFFFFF" w:sz="6" w:space="0"/>
            </w:tcBorders>
          </w:tcPr>
          <w:p>
            <w:pP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1971"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971"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1971" w:type="dxa"/>
            <w:vAlign w:val="center"/>
          </w:tcPr>
          <w:p>
            <w:pPr>
              <w:pStyle w:val="12"/>
            </w:pPr>
            <w:r>
              <w:t>收入</w:t>
            </w:r>
          </w:p>
        </w:tc>
        <w:tc>
          <w:tcPr>
            <w:tcW w:w="1971" w:type="dxa"/>
          </w:tcPr>
          <w:p>
            <w:pPr/>
          </w:p>
        </w:tc>
        <w:tc>
          <w:tcPr>
            <w:tcW w:w="1971" w:type="dxa"/>
            <w:vAlign w:val="center"/>
          </w:tcPr>
          <w:p>
            <w:pPr>
              <w:pStyle w:val="12"/>
            </w:pPr>
            <w:r>
              <w:t>支出</w:t>
            </w:r>
          </w:p>
        </w:tc>
        <w:tc>
          <w:tcPr>
            <w:tcW w:w="1971" w:type="dxa"/>
          </w:tcPr>
          <w:p>
            <w:pPr/>
          </w:p>
        </w:tc>
      </w:tr>
      <w:tr>
        <w:tblPrEx>
          <w:tblLayout w:type="fixed"/>
          <w:tblCellMar>
            <w:top w:w="0" w:type="dxa"/>
            <w:left w:w="108" w:type="dxa"/>
            <w:bottom w:w="0" w:type="dxa"/>
            <w:right w:w="108" w:type="dxa"/>
          </w:tblCellMar>
        </w:tblPrEx>
        <w:trPr>
          <w:trHeight w:val="369" w:hRule="atLeast"/>
          <w:tblHeader/>
          <w:jc w:val="center"/>
        </w:trPr>
        <w:tc>
          <w:tcPr>
            <w:tcW w:w="1971" w:type="dxa"/>
            <w:vMerge w:val="continue"/>
          </w:tcPr>
          <w:p>
            <w:p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rPr>
                <w:rFonts w:hint="eastAsia"/>
              </w:rPr>
              <w:t>389.17</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rPr>
                <w:rFonts w:hint="eastAsia"/>
              </w:rPr>
              <w:t>1.61</w:t>
            </w:r>
          </w:p>
        </w:tc>
        <w:tc>
          <w:tcPr>
            <w:tcW w:w="1971" w:type="dxa"/>
            <w:vAlign w:val="center"/>
          </w:tcPr>
          <w:p>
            <w:pPr>
              <w:pStyle w:val="14"/>
            </w:pPr>
            <w:r>
              <w:t>二、外交支出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r>
              <w:rPr>
                <w:rFonts w:hint="eastAsia"/>
              </w:rPr>
              <w:t>389.17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rPr>
                <w:rFonts w:hint="eastAsia" w:eastAsia="方正书宋_GBK"/>
                <w:lang w:eastAsia="zh-CN"/>
              </w:rPr>
            </w:pPr>
            <w:r>
              <w:rPr>
                <w:rFonts w:hint="eastAsia"/>
                <w:lang w:val="en-US" w:eastAsia="zh-CN"/>
              </w:rP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rPr>
                <w:rFonts w:hint="eastAsia"/>
              </w:rPr>
              <w:t>390.78</w:t>
            </w:r>
          </w:p>
        </w:tc>
        <w:tc>
          <w:tcPr>
            <w:tcW w:w="1971" w:type="dxa"/>
            <w:vAlign w:val="center"/>
          </w:tcPr>
          <w:p>
            <w:pPr>
              <w:pStyle w:val="16"/>
            </w:pPr>
            <w:r>
              <w:t>本年支出合计</w:t>
            </w:r>
          </w:p>
        </w:tc>
        <w:tc>
          <w:tcPr>
            <w:tcW w:w="1971" w:type="dxa"/>
            <w:vAlign w:val="center"/>
          </w:tcPr>
          <w:p>
            <w:pPr>
              <w:pStyle w:val="17"/>
            </w:pPr>
            <w:r>
              <w:rPr>
                <w:rFonts w:hint="eastAsia"/>
              </w:rPr>
              <w:t>390.78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rPr>
                <w:rFonts w:hint="eastAsia"/>
              </w:rPr>
              <w:t>390.78</w:t>
            </w:r>
          </w:p>
        </w:tc>
        <w:tc>
          <w:tcPr>
            <w:tcW w:w="1971" w:type="dxa"/>
            <w:vAlign w:val="center"/>
          </w:tcPr>
          <w:p>
            <w:pPr>
              <w:pStyle w:val="16"/>
            </w:pPr>
            <w:r>
              <w:t>支出总计</w:t>
            </w:r>
          </w:p>
        </w:tc>
        <w:tc>
          <w:tcPr>
            <w:tcW w:w="1971" w:type="dxa"/>
            <w:vAlign w:val="center"/>
          </w:tcPr>
          <w:p>
            <w:pPr>
              <w:pStyle w:val="17"/>
            </w:pPr>
            <w:r>
              <w:rPr>
                <w:rFonts w:hint="eastAsia"/>
              </w:rPr>
              <w:t>3</w:t>
            </w:r>
            <w:r>
              <w:rPr>
                <w:rFonts w:hint="eastAsia"/>
                <w:lang w:val="en-US" w:eastAsia="zh-CN"/>
              </w:rPr>
              <w:t>90</w:t>
            </w:r>
            <w:r>
              <w:rPr>
                <w:rFonts w:hint="eastAsia"/>
              </w:rPr>
              <w:t>.</w:t>
            </w:r>
            <w:r>
              <w:rPr>
                <w:rFonts w:hint="eastAsia"/>
                <w:lang w:val="en-US" w:eastAsia="zh-CN"/>
              </w:rPr>
              <w:t>78</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6"/>
        <w:gridCol w:w="1155"/>
        <w:gridCol w:w="1155"/>
        <w:gridCol w:w="1155"/>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155"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vAlign w:val="center"/>
          </w:tcPr>
          <w:p>
            <w:pPr>
              <w:pStyle w:val="10"/>
            </w:pPr>
            <w:r>
              <w:t>预算年度：2022</w:t>
            </w:r>
          </w:p>
        </w:tc>
        <w:tc>
          <w:tcPr>
            <w:tcW w:w="1156"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155"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1155" w:type="dxa"/>
            <w:vAlign w:val="center"/>
          </w:tcPr>
          <w:p>
            <w:pPr>
              <w:pStyle w:val="12"/>
            </w:pPr>
            <w:r>
              <w:t>功能分类科目</w:t>
            </w:r>
          </w:p>
        </w:tc>
        <w:tc>
          <w:tcPr>
            <w:tcW w:w="1155" w:type="dxa"/>
          </w:tcPr>
          <w:p>
            <w:pPr/>
          </w:p>
        </w:tc>
        <w:tc>
          <w:tcPr>
            <w:tcW w:w="1155" w:type="dxa"/>
            <w:vMerge w:val="restart"/>
            <w:vAlign w:val="center"/>
          </w:tcPr>
          <w:p>
            <w:pPr>
              <w:pStyle w:val="12"/>
            </w:pPr>
            <w:r>
              <w:t>合计</w:t>
            </w:r>
          </w:p>
        </w:tc>
        <w:tc>
          <w:tcPr>
            <w:tcW w:w="1155" w:type="dxa"/>
            <w:vAlign w:val="center"/>
          </w:tcPr>
          <w:p>
            <w:pPr>
              <w:pStyle w:val="12"/>
            </w:pPr>
            <w:r>
              <w:t>本年收入</w:t>
            </w:r>
          </w:p>
        </w:tc>
        <w:tc>
          <w:tcPr>
            <w:tcW w:w="1155" w:type="dxa"/>
          </w:tcPr>
          <w:p>
            <w:pPr/>
          </w:p>
        </w:tc>
        <w:tc>
          <w:tcPr>
            <w:tcW w:w="1156" w:type="dxa"/>
          </w:tcPr>
          <w:p>
            <w:pPr/>
          </w:p>
        </w:tc>
        <w:tc>
          <w:tcPr>
            <w:tcW w:w="1155" w:type="dxa"/>
          </w:tcPr>
          <w:p>
            <w:pPr/>
          </w:p>
        </w:tc>
        <w:tc>
          <w:tcPr>
            <w:tcW w:w="1155" w:type="dxa"/>
          </w:tcPr>
          <w:p>
            <w:pPr/>
          </w:p>
        </w:tc>
        <w:tc>
          <w:tcPr>
            <w:tcW w:w="1155" w:type="dxa"/>
          </w:tcPr>
          <w:p>
            <w:pPr/>
          </w:p>
        </w:tc>
        <w:tc>
          <w:tcPr>
            <w:tcW w:w="1155" w:type="dxa"/>
          </w:tcPr>
          <w:p>
            <w:pPr/>
          </w:p>
        </w:tc>
        <w:tc>
          <w:tcPr>
            <w:tcW w:w="1155" w:type="dxa"/>
          </w:tcPr>
          <w:p>
            <w:pPr/>
          </w:p>
        </w:tc>
        <w:tc>
          <w:tcPr>
            <w:tcW w:w="1155" w:type="dxa"/>
            <w:vMerge w:val="restart"/>
            <w:vAlign w:val="center"/>
          </w:tcPr>
          <w:p>
            <w:pPr>
              <w:pStyle w:val="12"/>
            </w:pPr>
            <w:r>
              <w:t>上年结转</w:t>
            </w:r>
          </w:p>
        </w:tc>
      </w:tr>
      <w:tr>
        <w:tblPrEx>
          <w:tblLayout w:type="fixed"/>
          <w:tblCellMar>
            <w:top w:w="0" w:type="dxa"/>
            <w:left w:w="108" w:type="dxa"/>
            <w:bottom w:w="0" w:type="dxa"/>
            <w:right w:w="108" w:type="dxa"/>
          </w:tblCellMar>
        </w:tblPrEx>
        <w:trPr>
          <w:trHeight w:val="369" w:hRule="atLeast"/>
          <w:tblHeader/>
          <w:jc w:val="center"/>
        </w:trPr>
        <w:tc>
          <w:tcPr>
            <w:tcW w:w="1155" w:type="dxa"/>
            <w:vMerge w:val="continue"/>
          </w:tcPr>
          <w:p>
            <w:pPr/>
          </w:p>
        </w:tc>
        <w:tc>
          <w:tcPr>
            <w:tcW w:w="1155" w:type="dxa"/>
            <w:vAlign w:val="center"/>
          </w:tcPr>
          <w:p>
            <w:pPr>
              <w:pStyle w:val="12"/>
            </w:pPr>
            <w:r>
              <w:t>科目    编码</w:t>
            </w:r>
          </w:p>
        </w:tc>
        <w:tc>
          <w:tcPr>
            <w:tcW w:w="1155" w:type="dxa"/>
            <w:vAlign w:val="center"/>
          </w:tcPr>
          <w:p>
            <w:pPr>
              <w:pStyle w:val="12"/>
            </w:pPr>
            <w:r>
              <w:t>科目名称</w:t>
            </w:r>
          </w:p>
        </w:tc>
        <w:tc>
          <w:tcPr>
            <w:tcW w:w="1155" w:type="dxa"/>
            <w:vMerge w:val="continue"/>
          </w:tcPr>
          <w:p>
            <w:pPr/>
          </w:p>
        </w:tc>
        <w:tc>
          <w:tcPr>
            <w:tcW w:w="1155" w:type="dxa"/>
            <w:vAlign w:val="center"/>
          </w:tcPr>
          <w:p>
            <w:pPr>
              <w:pStyle w:val="12"/>
            </w:pPr>
            <w:r>
              <w:t>小计</w:t>
            </w:r>
          </w:p>
        </w:tc>
        <w:tc>
          <w:tcPr>
            <w:tcW w:w="1155" w:type="dxa"/>
            <w:vAlign w:val="center"/>
          </w:tcPr>
          <w:p>
            <w:pPr>
              <w:pStyle w:val="12"/>
            </w:pPr>
            <w:r>
              <w:t>财政拨款 收入</w:t>
            </w:r>
          </w:p>
        </w:tc>
        <w:tc>
          <w:tcPr>
            <w:tcW w:w="1156" w:type="dxa"/>
            <w:vAlign w:val="center"/>
          </w:tcPr>
          <w:p>
            <w:pPr>
              <w:pStyle w:val="12"/>
            </w:pPr>
            <w:r>
              <w:t>财政专户 收入</w:t>
            </w:r>
          </w:p>
        </w:tc>
        <w:tc>
          <w:tcPr>
            <w:tcW w:w="1155" w:type="dxa"/>
            <w:vAlign w:val="center"/>
          </w:tcPr>
          <w:p>
            <w:pPr>
              <w:pStyle w:val="12"/>
            </w:pPr>
            <w:r>
              <w:t>事业收入</w:t>
            </w:r>
          </w:p>
        </w:tc>
        <w:tc>
          <w:tcPr>
            <w:tcW w:w="1155" w:type="dxa"/>
            <w:vAlign w:val="center"/>
          </w:tcPr>
          <w:p>
            <w:pPr>
              <w:pStyle w:val="12"/>
            </w:pPr>
            <w:r>
              <w:t>经营收入</w:t>
            </w:r>
          </w:p>
        </w:tc>
        <w:tc>
          <w:tcPr>
            <w:tcW w:w="1155"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pPr/>
          </w:p>
        </w:tc>
      </w:tr>
      <w:tr>
        <w:tblPrEx>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2"/>
            </w:pPr>
            <w:r>
              <w:t>栏次</w:t>
            </w:r>
          </w:p>
        </w:tc>
        <w:tc>
          <w:tcPr>
            <w:tcW w:w="1155" w:type="dxa"/>
            <w:vAlign w:val="center"/>
          </w:tcPr>
          <w:p>
            <w:pPr>
              <w:pStyle w:val="12"/>
            </w:pPr>
            <w:r>
              <w:t>1</w:t>
            </w:r>
          </w:p>
        </w:tc>
        <w:tc>
          <w:tcPr>
            <w:tcW w:w="1155" w:type="dxa"/>
            <w:vAlign w:val="center"/>
          </w:tcPr>
          <w:p>
            <w:pPr>
              <w:pStyle w:val="12"/>
            </w:pPr>
            <w:r>
              <w:t>2</w:t>
            </w:r>
          </w:p>
        </w:tc>
        <w:tc>
          <w:tcPr>
            <w:tcW w:w="1155" w:type="dxa"/>
            <w:vAlign w:val="center"/>
          </w:tcPr>
          <w:p>
            <w:pPr>
              <w:pStyle w:val="12"/>
            </w:pPr>
            <w:r>
              <w:t>3</w:t>
            </w:r>
          </w:p>
        </w:tc>
        <w:tc>
          <w:tcPr>
            <w:tcW w:w="1155" w:type="dxa"/>
            <w:vAlign w:val="center"/>
          </w:tcPr>
          <w:p>
            <w:pPr>
              <w:pStyle w:val="12"/>
            </w:pPr>
            <w:r>
              <w:t>4</w:t>
            </w:r>
          </w:p>
        </w:tc>
        <w:tc>
          <w:tcPr>
            <w:tcW w:w="1155" w:type="dxa"/>
            <w:vAlign w:val="center"/>
          </w:tcPr>
          <w:p>
            <w:pPr>
              <w:pStyle w:val="12"/>
            </w:pPr>
            <w:r>
              <w:t>5</w:t>
            </w:r>
          </w:p>
        </w:tc>
        <w:tc>
          <w:tcPr>
            <w:tcW w:w="1156" w:type="dxa"/>
            <w:vAlign w:val="center"/>
          </w:tcPr>
          <w:p>
            <w:pPr>
              <w:pStyle w:val="12"/>
            </w:pPr>
            <w:r>
              <w:t>6</w:t>
            </w:r>
          </w:p>
        </w:tc>
        <w:tc>
          <w:tcPr>
            <w:tcW w:w="1155" w:type="dxa"/>
            <w:vAlign w:val="center"/>
          </w:tcPr>
          <w:p>
            <w:pPr>
              <w:pStyle w:val="12"/>
            </w:pPr>
            <w:r>
              <w:t>7</w:t>
            </w:r>
          </w:p>
        </w:tc>
        <w:tc>
          <w:tcPr>
            <w:tcW w:w="1155" w:type="dxa"/>
            <w:vAlign w:val="center"/>
          </w:tcPr>
          <w:p>
            <w:pPr>
              <w:pStyle w:val="12"/>
            </w:pPr>
            <w:r>
              <w:t>8</w:t>
            </w:r>
          </w:p>
        </w:tc>
        <w:tc>
          <w:tcPr>
            <w:tcW w:w="1155"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w:t>
            </w:r>
          </w:p>
        </w:tc>
        <w:tc>
          <w:tcPr>
            <w:tcW w:w="1155" w:type="dxa"/>
            <w:vAlign w:val="center"/>
          </w:tcPr>
          <w:p>
            <w:pPr>
              <w:pStyle w:val="18"/>
            </w:pPr>
          </w:p>
        </w:tc>
        <w:tc>
          <w:tcPr>
            <w:tcW w:w="1155" w:type="dxa"/>
            <w:vAlign w:val="center"/>
          </w:tcPr>
          <w:p>
            <w:pPr>
              <w:pStyle w:val="16"/>
            </w:pPr>
            <w:r>
              <w:t>合计</w:t>
            </w:r>
          </w:p>
        </w:tc>
        <w:tc>
          <w:tcPr>
            <w:tcW w:w="1155" w:type="dxa"/>
            <w:vAlign w:val="center"/>
          </w:tcPr>
          <w:p>
            <w:pPr>
              <w:pStyle w:val="17"/>
            </w:pPr>
            <w:r>
              <w:rPr>
                <w:rFonts w:hint="eastAsia"/>
              </w:rPr>
              <w:t>390.78</w:t>
            </w:r>
          </w:p>
        </w:tc>
        <w:tc>
          <w:tcPr>
            <w:tcW w:w="1155" w:type="dxa"/>
            <w:vAlign w:val="center"/>
          </w:tcPr>
          <w:p>
            <w:pPr>
              <w:pStyle w:val="17"/>
            </w:pPr>
            <w:r>
              <w:rPr>
                <w:rFonts w:hint="eastAsia"/>
              </w:rPr>
              <w:t>390.78</w:t>
            </w:r>
          </w:p>
        </w:tc>
        <w:tc>
          <w:tcPr>
            <w:tcW w:w="1155" w:type="dxa"/>
            <w:vAlign w:val="center"/>
          </w:tcPr>
          <w:p>
            <w:pPr>
              <w:pStyle w:val="17"/>
            </w:pPr>
            <w:r>
              <w:rPr>
                <w:rFonts w:hint="eastAsia"/>
              </w:rPr>
              <w:t>390.78</w:t>
            </w: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w:t>
            </w:r>
          </w:p>
        </w:tc>
        <w:tc>
          <w:tcPr>
            <w:tcW w:w="1155" w:type="dxa"/>
            <w:vAlign w:val="center"/>
          </w:tcPr>
          <w:p>
            <w:pPr>
              <w:pStyle w:val="14"/>
            </w:pPr>
            <w:r>
              <w:t>207</w:t>
            </w:r>
          </w:p>
        </w:tc>
        <w:tc>
          <w:tcPr>
            <w:tcW w:w="1155" w:type="dxa"/>
            <w:vAlign w:val="center"/>
          </w:tcPr>
          <w:p>
            <w:pPr>
              <w:pStyle w:val="14"/>
            </w:pPr>
            <w:r>
              <w:t>文化旅游体育与传媒支出</w:t>
            </w:r>
          </w:p>
        </w:tc>
        <w:tc>
          <w:tcPr>
            <w:tcW w:w="1155" w:type="dxa"/>
            <w:vAlign w:val="center"/>
          </w:tcPr>
          <w:p>
            <w:pPr>
              <w:pStyle w:val="13"/>
            </w:pPr>
            <w:r>
              <w:rPr>
                <w:rFonts w:hint="eastAsia"/>
              </w:rPr>
              <w:t>389.17</w:t>
            </w:r>
          </w:p>
        </w:tc>
        <w:tc>
          <w:tcPr>
            <w:tcW w:w="1155" w:type="dxa"/>
            <w:vAlign w:val="center"/>
          </w:tcPr>
          <w:p>
            <w:pPr>
              <w:pStyle w:val="13"/>
            </w:pPr>
            <w:r>
              <w:rPr>
                <w:rFonts w:hint="eastAsia"/>
              </w:rPr>
              <w:t>389.17</w:t>
            </w:r>
          </w:p>
        </w:tc>
        <w:tc>
          <w:tcPr>
            <w:tcW w:w="1155" w:type="dxa"/>
            <w:vAlign w:val="center"/>
          </w:tcPr>
          <w:p>
            <w:pPr>
              <w:pStyle w:val="13"/>
            </w:pPr>
            <w:r>
              <w:rPr>
                <w:rFonts w:hint="eastAsia"/>
              </w:rPr>
              <w:t>389.17</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w:t>
            </w:r>
          </w:p>
        </w:tc>
        <w:tc>
          <w:tcPr>
            <w:tcW w:w="1155" w:type="dxa"/>
            <w:vAlign w:val="center"/>
          </w:tcPr>
          <w:p>
            <w:pPr>
              <w:pStyle w:val="14"/>
            </w:pPr>
            <w:r>
              <w:t>20701</w:t>
            </w:r>
          </w:p>
        </w:tc>
        <w:tc>
          <w:tcPr>
            <w:tcW w:w="1155" w:type="dxa"/>
            <w:vAlign w:val="center"/>
          </w:tcPr>
          <w:p>
            <w:pPr>
              <w:pStyle w:val="14"/>
            </w:pPr>
            <w:r>
              <w:t>文化和旅游</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377.17</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377.17</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377.17</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w:t>
            </w:r>
          </w:p>
        </w:tc>
        <w:tc>
          <w:tcPr>
            <w:tcW w:w="1155" w:type="dxa"/>
            <w:vAlign w:val="center"/>
          </w:tcPr>
          <w:p>
            <w:pPr>
              <w:pStyle w:val="14"/>
            </w:pPr>
            <w:r>
              <w:t>2070101</w:t>
            </w:r>
          </w:p>
        </w:tc>
        <w:tc>
          <w:tcPr>
            <w:tcW w:w="1155" w:type="dxa"/>
            <w:vAlign w:val="center"/>
          </w:tcPr>
          <w:p>
            <w:pPr>
              <w:pStyle w:val="14"/>
            </w:pPr>
            <w:r>
              <w:t>行政运行</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371.57</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371.57</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371.57</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5</w:t>
            </w:r>
          </w:p>
        </w:tc>
        <w:tc>
          <w:tcPr>
            <w:tcW w:w="1155" w:type="dxa"/>
            <w:vAlign w:val="center"/>
          </w:tcPr>
          <w:p>
            <w:pPr>
              <w:pStyle w:val="14"/>
            </w:pPr>
            <w:r>
              <w:t>2070108</w:t>
            </w:r>
          </w:p>
        </w:tc>
        <w:tc>
          <w:tcPr>
            <w:tcW w:w="1155" w:type="dxa"/>
            <w:vAlign w:val="center"/>
          </w:tcPr>
          <w:p>
            <w:pPr>
              <w:pStyle w:val="14"/>
            </w:pPr>
            <w:r>
              <w:t>文化活动</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6</w:t>
            </w:r>
          </w:p>
        </w:tc>
        <w:tc>
          <w:tcPr>
            <w:tcW w:w="1155" w:type="dxa"/>
            <w:vAlign w:val="center"/>
          </w:tcPr>
          <w:p>
            <w:pPr>
              <w:pStyle w:val="14"/>
            </w:pPr>
            <w:r>
              <w:t>2070111</w:t>
            </w:r>
          </w:p>
        </w:tc>
        <w:tc>
          <w:tcPr>
            <w:tcW w:w="1155" w:type="dxa"/>
            <w:vAlign w:val="center"/>
          </w:tcPr>
          <w:p>
            <w:pPr>
              <w:pStyle w:val="14"/>
            </w:pPr>
            <w:r>
              <w:t>文化创作与保护</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0.60</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0.60</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0.60</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7</w:t>
            </w:r>
          </w:p>
        </w:tc>
        <w:tc>
          <w:tcPr>
            <w:tcW w:w="1155" w:type="dxa"/>
            <w:vAlign w:val="center"/>
          </w:tcPr>
          <w:p>
            <w:pPr>
              <w:pStyle w:val="14"/>
            </w:pPr>
            <w:r>
              <w:t>20799</w:t>
            </w:r>
          </w:p>
        </w:tc>
        <w:tc>
          <w:tcPr>
            <w:tcW w:w="1155" w:type="dxa"/>
            <w:vAlign w:val="center"/>
          </w:tcPr>
          <w:p>
            <w:pPr>
              <w:pStyle w:val="14"/>
            </w:pPr>
            <w:r>
              <w:t>其他文化旅游体育与传媒支出</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8</w:t>
            </w:r>
          </w:p>
        </w:tc>
        <w:tc>
          <w:tcPr>
            <w:tcW w:w="1155" w:type="dxa"/>
            <w:vAlign w:val="center"/>
          </w:tcPr>
          <w:p>
            <w:pPr>
              <w:pStyle w:val="14"/>
            </w:pPr>
            <w:r>
              <w:t>2079999</w:t>
            </w:r>
          </w:p>
        </w:tc>
        <w:tc>
          <w:tcPr>
            <w:tcW w:w="1155" w:type="dxa"/>
            <w:vAlign w:val="center"/>
          </w:tcPr>
          <w:p>
            <w:pPr>
              <w:pStyle w:val="14"/>
            </w:pPr>
            <w:r>
              <w:t>其他文化旅游体育与传媒支出</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9</w:t>
            </w:r>
          </w:p>
        </w:tc>
        <w:tc>
          <w:tcPr>
            <w:tcW w:w="1155" w:type="dxa"/>
            <w:vAlign w:val="center"/>
          </w:tcPr>
          <w:p>
            <w:pPr>
              <w:pStyle w:val="14"/>
            </w:pPr>
            <w:r>
              <w:t>229</w:t>
            </w:r>
          </w:p>
        </w:tc>
        <w:tc>
          <w:tcPr>
            <w:tcW w:w="1155" w:type="dxa"/>
            <w:vAlign w:val="center"/>
          </w:tcPr>
          <w:p>
            <w:pPr>
              <w:pStyle w:val="14"/>
            </w:pPr>
            <w:r>
              <w:t>其他支出</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10</w:t>
            </w:r>
          </w:p>
        </w:tc>
        <w:tc>
          <w:tcPr>
            <w:tcW w:w="1155" w:type="dxa"/>
            <w:vAlign w:val="center"/>
          </w:tcPr>
          <w:p>
            <w:pPr>
              <w:pStyle w:val="14"/>
            </w:pPr>
            <w:r>
              <w:t>22960</w:t>
            </w:r>
          </w:p>
        </w:tc>
        <w:tc>
          <w:tcPr>
            <w:tcW w:w="1155" w:type="dxa"/>
            <w:vAlign w:val="center"/>
          </w:tcPr>
          <w:p>
            <w:pPr>
              <w:pStyle w:val="14"/>
            </w:pPr>
            <w:r>
              <w:t>彩票公益金安排的支出</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11</w:t>
            </w:r>
          </w:p>
        </w:tc>
        <w:tc>
          <w:tcPr>
            <w:tcW w:w="1155" w:type="dxa"/>
            <w:vAlign w:val="center"/>
          </w:tcPr>
          <w:p>
            <w:pPr>
              <w:pStyle w:val="14"/>
            </w:pPr>
            <w:r>
              <w:t>2296003</w:t>
            </w:r>
          </w:p>
        </w:tc>
        <w:tc>
          <w:tcPr>
            <w:tcW w:w="1155" w:type="dxa"/>
            <w:vAlign w:val="center"/>
          </w:tcPr>
          <w:p>
            <w:pPr>
              <w:pStyle w:val="14"/>
            </w:pPr>
            <w:r>
              <w:t>用于体育事业的彩票公益金支出</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095"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vAlign w:val="center"/>
          </w:tcPr>
          <w:p>
            <w:pPr>
              <w:pStyle w:val="10"/>
            </w:pPr>
            <w:r>
              <w:t>预算年度：2022</w:t>
            </w:r>
          </w:p>
        </w:tc>
        <w:tc>
          <w:tcPr>
            <w:tcW w:w="1095"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095"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1095" w:type="dxa"/>
            <w:vAlign w:val="center"/>
          </w:tcPr>
          <w:p>
            <w:pPr>
              <w:pStyle w:val="12"/>
            </w:pPr>
            <w:r>
              <w:t>功能分类科目</w:t>
            </w:r>
          </w:p>
        </w:tc>
        <w:tc>
          <w:tcPr>
            <w:tcW w:w="1095" w:type="dxa"/>
          </w:tcPr>
          <w:p>
            <w:p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p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390.78</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366.57</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24.21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389.17</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366.57</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22.60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20701</w:t>
            </w:r>
          </w:p>
        </w:tc>
        <w:tc>
          <w:tcPr>
            <w:tcW w:w="1095" w:type="dxa"/>
            <w:vAlign w:val="center"/>
          </w:tcPr>
          <w:p>
            <w:pPr>
              <w:pStyle w:val="14"/>
            </w:pPr>
            <w:r>
              <w:t>文化和旅游</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377.17</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366.57</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2070101</w:t>
            </w:r>
          </w:p>
        </w:tc>
        <w:tc>
          <w:tcPr>
            <w:tcW w:w="1095" w:type="dxa"/>
            <w:vAlign w:val="center"/>
          </w:tcPr>
          <w:p>
            <w:pPr>
              <w:pStyle w:val="14"/>
            </w:pPr>
            <w:r>
              <w:t>行政运行</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371.57</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366.57</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2070108</w:t>
            </w:r>
          </w:p>
        </w:tc>
        <w:tc>
          <w:tcPr>
            <w:tcW w:w="1095" w:type="dxa"/>
            <w:vAlign w:val="center"/>
          </w:tcPr>
          <w:p>
            <w:pPr>
              <w:pStyle w:val="14"/>
            </w:pPr>
            <w:r>
              <w:t>文化活动</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c>
          <w:tcPr>
            <w:tcW w:w="1095" w:type="dxa"/>
            <w:textDirection w:val="lrTb"/>
            <w:vAlign w:val="center"/>
          </w:tcPr>
          <w:p>
            <w:pPr>
              <w:jc w:val="right"/>
            </w:pP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2070111</w:t>
            </w:r>
          </w:p>
        </w:tc>
        <w:tc>
          <w:tcPr>
            <w:tcW w:w="1095" w:type="dxa"/>
            <w:vAlign w:val="center"/>
          </w:tcPr>
          <w:p>
            <w:pPr>
              <w:pStyle w:val="14"/>
            </w:pPr>
            <w:r>
              <w:t>文化创作与保护</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0.60</w:t>
            </w:r>
          </w:p>
        </w:tc>
        <w:tc>
          <w:tcPr>
            <w:tcW w:w="1095" w:type="dxa"/>
            <w:textDirection w:val="lrTb"/>
            <w:vAlign w:val="center"/>
          </w:tcPr>
          <w:p>
            <w:pPr>
              <w:jc w:val="right"/>
            </w:pP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20799</w:t>
            </w:r>
          </w:p>
        </w:tc>
        <w:tc>
          <w:tcPr>
            <w:tcW w:w="1095" w:type="dxa"/>
            <w:vAlign w:val="center"/>
          </w:tcPr>
          <w:p>
            <w:pPr>
              <w:pStyle w:val="14"/>
            </w:pPr>
            <w:r>
              <w:t>其他文化旅游体育与传媒支出</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095" w:type="dxa"/>
            <w:textDirection w:val="lrTb"/>
            <w:vAlign w:val="center"/>
          </w:tcPr>
          <w:p>
            <w:pPr>
              <w:jc w:val="right"/>
            </w:pP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2079999</w:t>
            </w:r>
          </w:p>
        </w:tc>
        <w:tc>
          <w:tcPr>
            <w:tcW w:w="1095" w:type="dxa"/>
            <w:vAlign w:val="center"/>
          </w:tcPr>
          <w:p>
            <w:pPr>
              <w:pStyle w:val="14"/>
            </w:pPr>
            <w:r>
              <w:t>其他文化旅游体育与传媒支出</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095" w:type="dxa"/>
            <w:textDirection w:val="lrTb"/>
            <w:vAlign w:val="center"/>
          </w:tcPr>
          <w:p>
            <w:pPr>
              <w:jc w:val="right"/>
            </w:pP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229</w:t>
            </w:r>
          </w:p>
        </w:tc>
        <w:tc>
          <w:tcPr>
            <w:tcW w:w="1095" w:type="dxa"/>
            <w:vAlign w:val="center"/>
          </w:tcPr>
          <w:p>
            <w:pPr>
              <w:pStyle w:val="14"/>
            </w:pPr>
            <w:r>
              <w:t>其他支出</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095" w:type="dxa"/>
            <w:textDirection w:val="lrTb"/>
            <w:vAlign w:val="center"/>
          </w:tcPr>
          <w:p>
            <w:pPr>
              <w:jc w:val="right"/>
            </w:pP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095" w:type="dxa"/>
            <w:textDirection w:val="lrTb"/>
            <w:vAlign w:val="center"/>
          </w:tcPr>
          <w:p>
            <w:pPr>
              <w:jc w:val="right"/>
            </w:pPr>
          </w:p>
        </w:tc>
        <w:tc>
          <w:tcPr>
            <w:tcW w:w="1095"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2296003</w:t>
            </w:r>
          </w:p>
        </w:tc>
        <w:tc>
          <w:tcPr>
            <w:tcW w:w="1095" w:type="dxa"/>
            <w:vAlign w:val="center"/>
          </w:tcPr>
          <w:p>
            <w:pPr>
              <w:pStyle w:val="14"/>
            </w:pPr>
            <w:r>
              <w:t>用于体育事业的彩票公益金支出</w:t>
            </w:r>
          </w:p>
        </w:tc>
        <w:tc>
          <w:tcPr>
            <w:tcW w:w="1095" w:type="dxa"/>
            <w:vAlign w:val="center"/>
          </w:tcPr>
          <w:p>
            <w:pPr>
              <w:pStyle w:val="13"/>
              <w:rPr>
                <w:rFonts w:hint="eastAsia" w:eastAsia="方正书宋_GBK"/>
                <w:lang w:eastAsia="zh-CN"/>
              </w:rPr>
            </w:pPr>
            <w:r>
              <w:rPr>
                <w:rFonts w:hint="eastAsia"/>
                <w:lang w:val="en-US" w:eastAsia="zh-CN"/>
              </w:rPr>
              <w:t>1.61</w:t>
            </w:r>
          </w:p>
        </w:tc>
        <w:tc>
          <w:tcPr>
            <w:tcW w:w="1095" w:type="dxa"/>
            <w:vAlign w:val="center"/>
          </w:tcPr>
          <w:p>
            <w:pPr>
              <w:pStyle w:val="13"/>
            </w:pPr>
          </w:p>
        </w:tc>
        <w:tc>
          <w:tcPr>
            <w:tcW w:w="1095" w:type="dxa"/>
            <w:vAlign w:val="center"/>
          </w:tcPr>
          <w:p>
            <w:pPr>
              <w:pStyle w:val="13"/>
              <w:rPr>
                <w:rFonts w:hint="eastAsia" w:eastAsia="方正书宋_GBK"/>
                <w:lang w:eastAsia="zh-CN"/>
              </w:rPr>
            </w:pPr>
            <w:r>
              <w:rPr>
                <w:rFonts w:hint="eastAsia"/>
                <w:lang w:val="en-US" w:eastAsia="zh-CN"/>
              </w:rPr>
              <w:t>1.61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877" w:type="dxa"/>
            <w:tcBorders>
              <w:top w:val="single" w:color="FFFFFF" w:sz="6" w:space="0"/>
              <w:left w:val="single" w:color="FFFFFF" w:sz="6" w:space="0"/>
              <w:right w:val="single" w:color="FFFFFF" w:sz="6" w:space="0"/>
            </w:tcBorders>
          </w:tcPr>
          <w:p>
            <w:pPr/>
          </w:p>
        </w:tc>
        <w:tc>
          <w:tcPr>
            <w:tcW w:w="1877" w:type="dxa"/>
            <w:tcBorders>
              <w:top w:val="single" w:color="FFFFFF" w:sz="6" w:space="0"/>
              <w:left w:val="single" w:color="FFFFFF" w:sz="6" w:space="0"/>
              <w:right w:val="single" w:color="FFFFFF" w:sz="6" w:space="0"/>
            </w:tcBorders>
          </w:tcPr>
          <w:p>
            <w:pPr/>
          </w:p>
        </w:tc>
        <w:tc>
          <w:tcPr>
            <w:tcW w:w="1877" w:type="dxa"/>
            <w:tcBorders>
              <w:top w:val="single" w:color="FFFFFF" w:sz="6" w:space="0"/>
              <w:left w:val="single" w:color="FFFFFF" w:sz="6" w:space="0"/>
              <w:right w:val="single" w:color="FFFFFF" w:sz="6" w:space="0"/>
            </w:tcBorders>
            <w:vAlign w:val="center"/>
          </w:tcPr>
          <w:p>
            <w:pPr>
              <w:pStyle w:val="10"/>
            </w:pPr>
            <w:r>
              <w:t>预算年度：2022</w:t>
            </w:r>
          </w:p>
        </w:tc>
        <w:tc>
          <w:tcPr>
            <w:tcW w:w="1877"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877" w:type="dxa"/>
            <w:tcBorders>
              <w:top w:val="single" w:color="FFFFFF" w:sz="6" w:space="0"/>
              <w:left w:val="single" w:color="FFFFFF" w:sz="6" w:space="0"/>
              <w:right w:val="single" w:color="FFFFFF" w:sz="6" w:space="0"/>
            </w:tcBorders>
          </w:tcPr>
          <w:p>
            <w:pPr/>
          </w:p>
        </w:tc>
        <w:tc>
          <w:tcPr>
            <w:tcW w:w="1877" w:type="dxa"/>
            <w:tcBorders>
              <w:top w:val="single" w:color="FFFFFF" w:sz="6" w:space="0"/>
              <w:left w:val="single" w:color="FFFFFF" w:sz="6" w:space="0"/>
              <w:right w:val="single" w:color="FFFFFF" w:sz="6" w:space="0"/>
            </w:tcBorders>
          </w:tcPr>
          <w:p>
            <w:pPr/>
          </w:p>
        </w:tc>
        <w:tc>
          <w:tcPr>
            <w:tcW w:w="1877"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2"/>
            </w:pPr>
            <w:r>
              <w:t>序号</w:t>
            </w:r>
          </w:p>
        </w:tc>
        <w:tc>
          <w:tcPr>
            <w:tcW w:w="1877" w:type="dxa"/>
            <w:vAlign w:val="center"/>
          </w:tcPr>
          <w:p>
            <w:pPr>
              <w:pStyle w:val="12"/>
            </w:pPr>
            <w:r>
              <w:t>收入</w:t>
            </w:r>
          </w:p>
        </w:tc>
        <w:tc>
          <w:tcPr>
            <w:tcW w:w="1877" w:type="dxa"/>
          </w:tcPr>
          <w:p>
            <w:pPr/>
          </w:p>
        </w:tc>
        <w:tc>
          <w:tcPr>
            <w:tcW w:w="1877" w:type="dxa"/>
            <w:vAlign w:val="center"/>
          </w:tcPr>
          <w:p>
            <w:pPr>
              <w:pStyle w:val="12"/>
            </w:pPr>
            <w:r>
              <w:t>支出</w:t>
            </w:r>
          </w:p>
        </w:tc>
        <w:tc>
          <w:tcPr>
            <w:tcW w:w="1877" w:type="dxa"/>
          </w:tcPr>
          <w:p>
            <w:pPr/>
          </w:p>
        </w:tc>
        <w:tc>
          <w:tcPr>
            <w:tcW w:w="1877" w:type="dxa"/>
          </w:tcPr>
          <w:p>
            <w:pPr/>
          </w:p>
        </w:tc>
        <w:tc>
          <w:tcPr>
            <w:tcW w:w="1877" w:type="dxa"/>
          </w:tcPr>
          <w:p>
            <w:pPr/>
          </w:p>
        </w:tc>
        <w:tc>
          <w:tcPr>
            <w:tcW w:w="1877"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Pr>
          <w:p>
            <w:pPr/>
          </w:p>
        </w:tc>
        <w:tc>
          <w:tcPr>
            <w:tcW w:w="1877" w:type="dxa"/>
            <w:vAlign w:val="center"/>
          </w:tcPr>
          <w:p>
            <w:pPr>
              <w:pStyle w:val="12"/>
            </w:pPr>
            <w:r>
              <w:t>项  目</w:t>
            </w:r>
          </w:p>
        </w:tc>
        <w:tc>
          <w:tcPr>
            <w:tcW w:w="1877" w:type="dxa"/>
            <w:vAlign w:val="center"/>
          </w:tcPr>
          <w:p>
            <w:pPr>
              <w:pStyle w:val="12"/>
            </w:pPr>
            <w:r>
              <w:t>金额</w:t>
            </w:r>
          </w:p>
        </w:tc>
        <w:tc>
          <w:tcPr>
            <w:tcW w:w="1877" w:type="dxa"/>
            <w:vAlign w:val="center"/>
          </w:tcPr>
          <w:p>
            <w:pPr>
              <w:pStyle w:val="12"/>
            </w:pPr>
            <w:r>
              <w:t>项  目</w:t>
            </w:r>
          </w:p>
        </w:tc>
        <w:tc>
          <w:tcPr>
            <w:tcW w:w="1877" w:type="dxa"/>
            <w:vAlign w:val="center"/>
          </w:tcPr>
          <w:p>
            <w:pPr>
              <w:pStyle w:val="12"/>
            </w:pPr>
            <w:r>
              <w:t>合计</w:t>
            </w:r>
          </w:p>
        </w:tc>
        <w:tc>
          <w:tcPr>
            <w:tcW w:w="1877" w:type="dxa"/>
            <w:vAlign w:val="center"/>
          </w:tcPr>
          <w:p>
            <w:pPr>
              <w:pStyle w:val="12"/>
            </w:pPr>
            <w:r>
              <w:t>一般公共预算财政拨款</w:t>
            </w:r>
          </w:p>
        </w:tc>
        <w:tc>
          <w:tcPr>
            <w:tcW w:w="1877" w:type="dxa"/>
            <w:vAlign w:val="center"/>
          </w:tcPr>
          <w:p>
            <w:pPr>
              <w:pStyle w:val="12"/>
            </w:pPr>
            <w:r>
              <w:t>政府性基金预算财政    拨款</w:t>
            </w:r>
          </w:p>
        </w:tc>
        <w:tc>
          <w:tcPr>
            <w:tcW w:w="1877"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2"/>
            </w:pPr>
            <w:r>
              <w:t>栏次</w:t>
            </w:r>
          </w:p>
        </w:tc>
        <w:tc>
          <w:tcPr>
            <w:tcW w:w="1877" w:type="dxa"/>
            <w:vAlign w:val="center"/>
          </w:tcPr>
          <w:p>
            <w:pPr>
              <w:pStyle w:val="12"/>
            </w:pPr>
            <w:r>
              <w:t>1</w:t>
            </w:r>
          </w:p>
        </w:tc>
        <w:tc>
          <w:tcPr>
            <w:tcW w:w="1877" w:type="dxa"/>
            <w:vAlign w:val="center"/>
          </w:tcPr>
          <w:p>
            <w:pPr>
              <w:pStyle w:val="12"/>
            </w:pPr>
            <w:r>
              <w:t>2</w:t>
            </w:r>
          </w:p>
        </w:tc>
        <w:tc>
          <w:tcPr>
            <w:tcW w:w="1877" w:type="dxa"/>
            <w:vAlign w:val="center"/>
          </w:tcPr>
          <w:p>
            <w:pPr>
              <w:pStyle w:val="12"/>
            </w:pPr>
            <w:r>
              <w:t>3</w:t>
            </w:r>
          </w:p>
        </w:tc>
        <w:tc>
          <w:tcPr>
            <w:tcW w:w="1877" w:type="dxa"/>
            <w:vAlign w:val="center"/>
          </w:tcPr>
          <w:p>
            <w:pPr>
              <w:pStyle w:val="12"/>
            </w:pPr>
            <w:r>
              <w:t>4</w:t>
            </w:r>
          </w:p>
        </w:tc>
        <w:tc>
          <w:tcPr>
            <w:tcW w:w="1877" w:type="dxa"/>
            <w:vAlign w:val="center"/>
          </w:tcPr>
          <w:p>
            <w:pPr>
              <w:pStyle w:val="12"/>
            </w:pPr>
            <w:r>
              <w:t>5</w:t>
            </w:r>
          </w:p>
        </w:tc>
        <w:tc>
          <w:tcPr>
            <w:tcW w:w="1877" w:type="dxa"/>
            <w:vAlign w:val="center"/>
          </w:tcPr>
          <w:p>
            <w:pPr>
              <w:pStyle w:val="12"/>
            </w:pPr>
            <w:r>
              <w:t>6</w:t>
            </w:r>
          </w:p>
        </w:tc>
        <w:tc>
          <w:tcPr>
            <w:tcW w:w="1877"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w:t>
            </w:r>
          </w:p>
        </w:tc>
        <w:tc>
          <w:tcPr>
            <w:tcW w:w="1877" w:type="dxa"/>
            <w:vAlign w:val="center"/>
          </w:tcPr>
          <w:p>
            <w:pPr>
              <w:pStyle w:val="14"/>
            </w:pPr>
            <w:r>
              <w:t>一、一般公共预算拨款</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389.17</w:t>
            </w:r>
          </w:p>
        </w:tc>
        <w:tc>
          <w:tcPr>
            <w:tcW w:w="1877" w:type="dxa"/>
            <w:vAlign w:val="center"/>
          </w:tcPr>
          <w:p>
            <w:pPr>
              <w:pStyle w:val="14"/>
            </w:pPr>
            <w:r>
              <w:t>一、一般公共服务支出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w:t>
            </w:r>
          </w:p>
        </w:tc>
        <w:tc>
          <w:tcPr>
            <w:tcW w:w="1877" w:type="dxa"/>
            <w:vAlign w:val="center"/>
          </w:tcPr>
          <w:p>
            <w:pPr>
              <w:pStyle w:val="14"/>
            </w:pPr>
            <w:r>
              <w:t>二、政府性基金预算拨款</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877" w:type="dxa"/>
            <w:vAlign w:val="center"/>
          </w:tcPr>
          <w:p>
            <w:pPr>
              <w:pStyle w:val="14"/>
            </w:pPr>
            <w:r>
              <w:t>二、外交支出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r>
              <w:t>三、国防支出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四、公共安全支出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五、教育支出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六、科学技术支出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七、文化旅游体育与传媒支出</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389.17</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389.17</w:t>
            </w: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八、社会保障和就业支出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九、社会保险基金支出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十、卫生健康支出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十一、节能环保支出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十二、城乡社区支出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十三、农林水支出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十四、交通运输支出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十五、资源勘探工业信息等支出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十六、商业服务业等支出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十七、金融支出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十八、援助其他地区支出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19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十九、自然资源海洋气象等支出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二十、住房保障支出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21</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二十一、粮油物资储备支出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22</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二十二、国有资本经营预算支出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23</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二十三、灾害防治及应急管理支出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24</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二十四、预备费</w:t>
            </w:r>
          </w:p>
        </w:tc>
        <w:tc>
          <w:tcPr>
            <w:tcW w:w="1877" w:type="dxa"/>
            <w:vAlign w:val="center"/>
          </w:tcPr>
          <w:p>
            <w:pPr>
              <w:pStyle w:val="13"/>
              <w:rPr>
                <w:rFonts w:hint="eastAsia" w:ascii="宋体" w:hAnsi="宋体" w:eastAsia="宋体" w:cs="宋体"/>
                <w:i w:val="0"/>
                <w:color w:val="000000"/>
                <w:kern w:val="0"/>
                <w:sz w:val="18"/>
                <w:szCs w:val="18"/>
                <w:u w:val="none"/>
                <w:lang w:val="en-US" w:eastAsia="zh-CN" w:bidi="ar"/>
              </w:rPr>
            </w:pPr>
          </w:p>
        </w:tc>
        <w:tc>
          <w:tcPr>
            <w:tcW w:w="1877" w:type="dxa"/>
            <w:vAlign w:val="center"/>
          </w:tcPr>
          <w:p>
            <w:pPr>
              <w:pStyle w:val="13"/>
              <w:rPr>
                <w:rFonts w:hint="eastAsia" w:ascii="宋体" w:hAnsi="宋体" w:eastAsia="宋体" w:cs="宋体"/>
                <w:i w:val="0"/>
                <w:color w:val="000000"/>
                <w:kern w:val="0"/>
                <w:sz w:val="18"/>
                <w:szCs w:val="18"/>
                <w:u w:val="none"/>
                <w:lang w:val="en-US" w:eastAsia="zh-CN" w:bidi="ar"/>
              </w:rPr>
            </w:pPr>
          </w:p>
        </w:tc>
        <w:tc>
          <w:tcPr>
            <w:tcW w:w="1877" w:type="dxa"/>
            <w:vAlign w:val="center"/>
          </w:tcPr>
          <w:p>
            <w:pPr>
              <w:pStyle w:val="13"/>
              <w:rPr>
                <w:rFonts w:hint="eastAsia" w:ascii="宋体" w:hAnsi="宋体" w:eastAsia="宋体" w:cs="宋体"/>
                <w:i w:val="0"/>
                <w:color w:val="000000"/>
                <w:kern w:val="0"/>
                <w:sz w:val="18"/>
                <w:szCs w:val="18"/>
                <w:u w:val="none"/>
                <w:lang w:val="en-US" w:eastAsia="zh-CN" w:bidi="ar"/>
              </w:rPr>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25</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二十五、其他支出</w:t>
            </w:r>
          </w:p>
        </w:tc>
        <w:tc>
          <w:tcPr>
            <w:tcW w:w="1877" w:type="dxa"/>
            <w:vAlign w:val="center"/>
          </w:tcPr>
          <w:p>
            <w:pPr>
              <w:pStyle w:val="13"/>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1.61</w:t>
            </w:r>
          </w:p>
        </w:tc>
        <w:tc>
          <w:tcPr>
            <w:tcW w:w="1877" w:type="dxa"/>
            <w:vAlign w:val="center"/>
          </w:tcPr>
          <w:p>
            <w:pPr>
              <w:pStyle w:val="13"/>
              <w:rPr>
                <w:rFonts w:hint="eastAsia" w:ascii="宋体" w:hAnsi="宋体" w:eastAsia="宋体" w:cs="宋体"/>
                <w:i w:val="0"/>
                <w:color w:val="000000"/>
                <w:kern w:val="0"/>
                <w:sz w:val="18"/>
                <w:szCs w:val="18"/>
                <w:u w:val="none"/>
                <w:lang w:val="en-US" w:eastAsia="zh-CN" w:bidi="ar"/>
              </w:rPr>
            </w:pPr>
          </w:p>
        </w:tc>
        <w:tc>
          <w:tcPr>
            <w:tcW w:w="1877" w:type="dxa"/>
            <w:vAlign w:val="center"/>
          </w:tcPr>
          <w:p>
            <w:pPr>
              <w:pStyle w:val="13"/>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1.61</w:t>
            </w: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26</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二十六、转移性支出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27</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二十七、债务还本支出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28</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二十八、债务付息支出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29</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二十九、债务发行费用支出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30</w:t>
            </w:r>
          </w:p>
        </w:tc>
        <w:tc>
          <w:tcPr>
            <w:tcW w:w="1877" w:type="dxa"/>
            <w:vAlign w:val="center"/>
          </w:tcPr>
          <w:p>
            <w:pPr>
              <w:pStyle w:val="14"/>
            </w:pPr>
          </w:p>
        </w:tc>
        <w:tc>
          <w:tcPr>
            <w:tcW w:w="1877" w:type="dxa"/>
            <w:vAlign w:val="center"/>
          </w:tcPr>
          <w:p>
            <w:pPr>
              <w:pStyle w:val="13"/>
            </w:pPr>
          </w:p>
        </w:tc>
        <w:tc>
          <w:tcPr>
            <w:tcW w:w="1877" w:type="dxa"/>
            <w:vAlign w:val="center"/>
          </w:tcPr>
          <w:p>
            <w:pPr>
              <w:pStyle w:val="14"/>
            </w:pPr>
            <w:r>
              <w:t>三十、抗疫特别国债安排的支出</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31</w:t>
            </w:r>
          </w:p>
        </w:tc>
        <w:tc>
          <w:tcPr>
            <w:tcW w:w="1877" w:type="dxa"/>
            <w:vAlign w:val="center"/>
          </w:tcPr>
          <w:p>
            <w:pPr>
              <w:pStyle w:val="16"/>
            </w:pPr>
            <w:r>
              <w:t>本年收入合计</w:t>
            </w:r>
          </w:p>
        </w:tc>
        <w:tc>
          <w:tcPr>
            <w:tcW w:w="1877" w:type="dxa"/>
            <w:vAlign w:val="center"/>
          </w:tcPr>
          <w:p>
            <w:pPr>
              <w:pStyle w:val="17"/>
            </w:pPr>
            <w:r>
              <w:rPr>
                <w:rFonts w:hint="eastAsia" w:ascii="宋体" w:hAnsi="宋体" w:eastAsia="宋体" w:cs="宋体"/>
                <w:b/>
                <w:bCs/>
                <w:i w:val="0"/>
                <w:color w:val="000000"/>
                <w:kern w:val="0"/>
                <w:sz w:val="18"/>
                <w:szCs w:val="18"/>
                <w:u w:val="none"/>
                <w:lang w:val="en-US" w:eastAsia="zh-CN" w:bidi="ar"/>
              </w:rPr>
              <w:t>390.78</w:t>
            </w:r>
          </w:p>
        </w:tc>
        <w:tc>
          <w:tcPr>
            <w:tcW w:w="1877" w:type="dxa"/>
            <w:vAlign w:val="center"/>
          </w:tcPr>
          <w:p>
            <w:pPr>
              <w:pStyle w:val="16"/>
            </w:pPr>
            <w:r>
              <w:t>本年支出合计</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390.78</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389.17</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87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32</w:t>
            </w:r>
          </w:p>
        </w:tc>
        <w:tc>
          <w:tcPr>
            <w:tcW w:w="1877" w:type="dxa"/>
            <w:vAlign w:val="center"/>
          </w:tcPr>
          <w:p>
            <w:pPr>
              <w:pStyle w:val="14"/>
            </w:pPr>
            <w:r>
              <w:t>年初财政拨款结转和结余</w:t>
            </w:r>
          </w:p>
        </w:tc>
        <w:tc>
          <w:tcPr>
            <w:tcW w:w="1877" w:type="dxa"/>
            <w:vAlign w:val="center"/>
          </w:tcPr>
          <w:p>
            <w:pPr>
              <w:pStyle w:val="13"/>
            </w:pPr>
          </w:p>
        </w:tc>
        <w:tc>
          <w:tcPr>
            <w:tcW w:w="1877" w:type="dxa"/>
            <w:vAlign w:val="center"/>
          </w:tcPr>
          <w:p>
            <w:pPr>
              <w:pStyle w:val="14"/>
            </w:pPr>
            <w:r>
              <w:t>年末财政拨款结转和结余</w:t>
            </w: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33</w:t>
            </w:r>
          </w:p>
        </w:tc>
        <w:tc>
          <w:tcPr>
            <w:tcW w:w="1877" w:type="dxa"/>
            <w:vAlign w:val="center"/>
          </w:tcPr>
          <w:p>
            <w:pPr>
              <w:pStyle w:val="14"/>
            </w:pPr>
            <w:r>
              <w:t>一、一般公共预算拨款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34</w:t>
            </w:r>
          </w:p>
        </w:tc>
        <w:tc>
          <w:tcPr>
            <w:tcW w:w="1877" w:type="dxa"/>
            <w:vAlign w:val="center"/>
          </w:tcPr>
          <w:p>
            <w:pPr>
              <w:pStyle w:val="14"/>
            </w:pPr>
            <w:r>
              <w:t>二、政府性基金预算拨款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35</w:t>
            </w:r>
          </w:p>
        </w:tc>
        <w:tc>
          <w:tcPr>
            <w:tcW w:w="1877" w:type="dxa"/>
            <w:vAlign w:val="center"/>
          </w:tcPr>
          <w:p>
            <w:pPr>
              <w:pStyle w:val="14"/>
            </w:pPr>
            <w:r>
              <w:t>三、国有资本经营预算拨款</w:t>
            </w:r>
          </w:p>
        </w:tc>
        <w:tc>
          <w:tcPr>
            <w:tcW w:w="1877" w:type="dxa"/>
            <w:vAlign w:val="center"/>
          </w:tcPr>
          <w:p>
            <w:pPr>
              <w:pStyle w:val="13"/>
            </w:pPr>
          </w:p>
        </w:tc>
        <w:tc>
          <w:tcPr>
            <w:tcW w:w="1877" w:type="dxa"/>
            <w:vAlign w:val="center"/>
          </w:tcPr>
          <w:p>
            <w:pPr>
              <w:pStyle w:val="14"/>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c>
          <w:tcPr>
            <w:tcW w:w="187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5"/>
            </w:pPr>
            <w:r>
              <w:t>36</w:t>
            </w:r>
          </w:p>
        </w:tc>
        <w:tc>
          <w:tcPr>
            <w:tcW w:w="1877" w:type="dxa"/>
            <w:vAlign w:val="center"/>
          </w:tcPr>
          <w:p>
            <w:pPr>
              <w:pStyle w:val="16"/>
            </w:pPr>
            <w:r>
              <w:t>收入总计</w:t>
            </w:r>
          </w:p>
        </w:tc>
        <w:tc>
          <w:tcPr>
            <w:tcW w:w="1877" w:type="dxa"/>
            <w:vAlign w:val="center"/>
          </w:tcPr>
          <w:p>
            <w:pPr>
              <w:pStyle w:val="17"/>
            </w:pPr>
            <w:r>
              <w:rPr>
                <w:rFonts w:hint="eastAsia" w:ascii="宋体" w:hAnsi="宋体" w:eastAsia="宋体" w:cs="宋体"/>
                <w:b/>
                <w:bCs/>
                <w:i w:val="0"/>
                <w:color w:val="000000"/>
                <w:kern w:val="0"/>
                <w:sz w:val="18"/>
                <w:szCs w:val="18"/>
                <w:u w:val="none"/>
                <w:lang w:val="en-US" w:eastAsia="zh-CN" w:bidi="ar"/>
              </w:rPr>
              <w:t>390.78</w:t>
            </w:r>
          </w:p>
        </w:tc>
        <w:tc>
          <w:tcPr>
            <w:tcW w:w="1877" w:type="dxa"/>
            <w:vAlign w:val="center"/>
          </w:tcPr>
          <w:p>
            <w:pPr>
              <w:pStyle w:val="16"/>
            </w:pPr>
            <w:r>
              <w:t>支出总计</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390.78</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389.17</w:t>
            </w:r>
          </w:p>
        </w:tc>
        <w:tc>
          <w:tcPr>
            <w:tcW w:w="1877"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w:t>
            </w:r>
          </w:p>
        </w:tc>
        <w:tc>
          <w:tcPr>
            <w:tcW w:w="1877"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p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389.17</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366.57</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389.17</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366.57</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20701</w:t>
            </w:r>
          </w:p>
        </w:tc>
        <w:tc>
          <w:tcPr>
            <w:tcW w:w="1643" w:type="dxa"/>
            <w:vAlign w:val="center"/>
          </w:tcPr>
          <w:p>
            <w:pPr>
              <w:pStyle w:val="14"/>
            </w:pPr>
            <w:r>
              <w:t>文化和旅游</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377.17</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366.57</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2070101</w:t>
            </w:r>
          </w:p>
        </w:tc>
        <w:tc>
          <w:tcPr>
            <w:tcW w:w="1643" w:type="dxa"/>
            <w:vAlign w:val="center"/>
          </w:tcPr>
          <w:p>
            <w:pPr>
              <w:pStyle w:val="14"/>
            </w:pPr>
            <w:r>
              <w:t>行政运行</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371.57</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366.57</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2070108</w:t>
            </w:r>
          </w:p>
        </w:tc>
        <w:tc>
          <w:tcPr>
            <w:tcW w:w="1643" w:type="dxa"/>
            <w:vAlign w:val="center"/>
          </w:tcPr>
          <w:p>
            <w:pPr>
              <w:pStyle w:val="14"/>
            </w:pPr>
            <w:r>
              <w:t>文化活动</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2070111</w:t>
            </w:r>
          </w:p>
        </w:tc>
        <w:tc>
          <w:tcPr>
            <w:tcW w:w="1643" w:type="dxa"/>
            <w:vAlign w:val="center"/>
          </w:tcPr>
          <w:p>
            <w:pPr>
              <w:pStyle w:val="14"/>
            </w:pPr>
            <w:r>
              <w:t>文化创作与保护</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0.60</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20799</w:t>
            </w:r>
          </w:p>
        </w:tc>
        <w:tc>
          <w:tcPr>
            <w:tcW w:w="1643" w:type="dxa"/>
            <w:vAlign w:val="center"/>
          </w:tcPr>
          <w:p>
            <w:pPr>
              <w:pStyle w:val="14"/>
            </w:pPr>
            <w:r>
              <w:t>其他文化旅游体育与传媒支出</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2079999</w:t>
            </w:r>
          </w:p>
        </w:tc>
        <w:tc>
          <w:tcPr>
            <w:tcW w:w="1643" w:type="dxa"/>
            <w:vAlign w:val="center"/>
          </w:tcPr>
          <w:p>
            <w:pPr>
              <w:pStyle w:val="14"/>
            </w:pPr>
            <w:r>
              <w:t>其他文化旅游体育与传媒支出</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pPr/>
          </w:p>
        </w:tc>
        <w:tc>
          <w:tcPr>
            <w:tcW w:w="1643" w:type="dxa"/>
            <w:vAlign w:val="center"/>
          </w:tcPr>
          <w:p>
            <w:pPr>
              <w:pStyle w:val="12"/>
            </w:pPr>
            <w:r>
              <w:t>一般公共预算基本支出</w:t>
            </w:r>
          </w:p>
        </w:tc>
        <w:tc>
          <w:tcPr>
            <w:tcW w:w="1643" w:type="dxa"/>
          </w:tcPr>
          <w:p>
            <w:pPr/>
          </w:p>
        </w:tc>
        <w:tc>
          <w:tcPr>
            <w:tcW w:w="1643"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b/>
                <w:bCs/>
                <w:i w:val="0"/>
                <w:color w:val="000000"/>
                <w:kern w:val="0"/>
                <w:sz w:val="18"/>
                <w:szCs w:val="18"/>
                <w:u w:val="none"/>
                <w:lang w:val="en-US" w:eastAsia="zh-CN" w:bidi="ar"/>
              </w:rPr>
            </w:pPr>
            <w:r>
              <w:rPr>
                <w:rFonts w:hint="eastAsia" w:ascii="宋体" w:hAnsi="宋体" w:eastAsia="宋体" w:cs="宋体"/>
                <w:b/>
                <w:bCs/>
                <w:i w:val="0"/>
                <w:color w:val="000000"/>
                <w:kern w:val="0"/>
                <w:sz w:val="18"/>
                <w:szCs w:val="18"/>
                <w:u w:val="none"/>
                <w:lang w:val="en-US" w:eastAsia="zh-CN" w:bidi="ar"/>
              </w:rPr>
              <w:t>366.57</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b/>
                <w:bCs/>
                <w:i w:val="0"/>
                <w:color w:val="000000"/>
                <w:kern w:val="0"/>
                <w:sz w:val="18"/>
                <w:szCs w:val="18"/>
                <w:u w:val="none"/>
                <w:lang w:val="en-US" w:eastAsia="zh-CN" w:bidi="ar"/>
              </w:rPr>
            </w:pPr>
            <w:r>
              <w:rPr>
                <w:rFonts w:hint="default" w:ascii="宋体" w:hAnsi="宋体" w:eastAsia="宋体" w:cs="宋体"/>
                <w:b/>
                <w:bCs/>
                <w:i w:val="0"/>
                <w:color w:val="000000"/>
                <w:kern w:val="0"/>
                <w:sz w:val="18"/>
                <w:szCs w:val="18"/>
                <w:u w:val="none"/>
                <w:lang w:val="en-US" w:eastAsia="zh-CN" w:bidi="ar"/>
              </w:rPr>
              <w:t>340.49</w:t>
            </w:r>
          </w:p>
        </w:tc>
        <w:tc>
          <w:tcPr>
            <w:tcW w:w="1643" w:type="dxa"/>
            <w:vAlign w:val="center"/>
          </w:tcPr>
          <w:p>
            <w:pPr>
              <w:pStyle w:val="17"/>
              <w:rPr>
                <w:rFonts w:hint="eastAsia" w:ascii="宋体" w:hAnsi="宋体" w:eastAsia="宋体" w:cs="宋体"/>
                <w:b/>
                <w:bCs/>
                <w:i w:val="0"/>
                <w:color w:val="000000"/>
                <w:kern w:val="0"/>
                <w:sz w:val="18"/>
                <w:szCs w:val="18"/>
                <w:u w:val="none"/>
                <w:lang w:val="en-US" w:eastAsia="zh-CN" w:bidi="ar"/>
              </w:rPr>
            </w:pPr>
            <w:r>
              <w:rPr>
                <w:rFonts w:hint="eastAsia" w:ascii="宋体" w:hAnsi="宋体" w:eastAsia="宋体" w:cs="宋体"/>
                <w:b/>
                <w:bCs/>
                <w:i w:val="0"/>
                <w:color w:val="000000"/>
                <w:kern w:val="0"/>
                <w:sz w:val="18"/>
                <w:szCs w:val="18"/>
                <w:u w:val="none"/>
                <w:lang w:val="en-US" w:eastAsia="zh-CN" w:bidi="ar"/>
              </w:rPr>
              <w:t>26.08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208.75</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208.75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61.26</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61.26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29.45</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29.45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1.71</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1.71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30.97</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30.97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25.62</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25.62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19.12</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19.12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 2.53</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38.09</w:t>
            </w:r>
          </w:p>
        </w:tc>
        <w:tc>
          <w:tcPr>
            <w:tcW w:w="1643" w:type="dxa"/>
            <w:textDirection w:val="lrTb"/>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38.09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textDirection w:val="lrTb"/>
            <w:vAlign w:val="center"/>
          </w:tcPr>
          <w:p>
            <w:pPr>
              <w:pStyle w:val="15"/>
              <w:ind w:firstLine="0" w:firstLineChars="0"/>
              <w:rPr>
                <w:rFonts w:hint="eastAsia" w:eastAsia="方正书宋_GBK"/>
                <w:lang w:val="en-US" w:eastAsia="zh-CN"/>
              </w:rPr>
            </w:pPr>
            <w:r>
              <w:rPr>
                <w:rFonts w:hint="eastAsia"/>
                <w:lang w:val="en-US" w:eastAsia="zh-CN"/>
              </w:rPr>
              <w:t>11</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30199</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其他工资福利支出</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4" w:hRule="atLeast"/>
          <w:jc w:val="center"/>
        </w:trPr>
        <w:tc>
          <w:tcPr>
            <w:tcW w:w="1643" w:type="dxa"/>
            <w:textDirection w:val="lrTb"/>
            <w:vAlign w:val="center"/>
          </w:tcPr>
          <w:p>
            <w:pPr>
              <w:pStyle w:val="15"/>
              <w:ind w:firstLine="0" w:firstLineChars="0"/>
              <w:rPr>
                <w:rFonts w:hint="eastAsia" w:eastAsia="方正书宋_GBK"/>
                <w:lang w:val="en-US" w:eastAsia="zh-CN"/>
              </w:rPr>
            </w:pPr>
            <w:r>
              <w:rPr>
                <w:rFonts w:hint="eastAsia"/>
                <w:lang w:val="en-US" w:eastAsia="zh-CN"/>
              </w:rPr>
              <w:t>12</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商品和服务支出</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26.08</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textDirection w:val="lrTb"/>
            <w:vAlign w:val="center"/>
          </w:tcPr>
          <w:p>
            <w:pPr>
              <w:pStyle w:val="15"/>
              <w:ind w:firstLine="0" w:firstLineChars="0"/>
              <w:rPr>
                <w:rFonts w:hint="eastAsia" w:eastAsia="方正书宋_GBK"/>
                <w:lang w:val="en-US" w:eastAsia="zh-CN"/>
              </w:rPr>
            </w:pPr>
            <w:r>
              <w:rPr>
                <w:rFonts w:hint="eastAsia"/>
                <w:lang w:val="en-US" w:eastAsia="zh-CN"/>
              </w:rPr>
              <w:t>13</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30201</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办公费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2.50</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textDirection w:val="lrTb"/>
            <w:vAlign w:val="center"/>
          </w:tcPr>
          <w:p>
            <w:pPr>
              <w:pStyle w:val="15"/>
              <w:ind w:firstLine="0" w:firstLineChars="0"/>
              <w:rPr>
                <w:rFonts w:hint="eastAsia" w:eastAsia="方正书宋_GBK"/>
                <w:lang w:val="en-US" w:eastAsia="zh-CN"/>
              </w:rPr>
            </w:pPr>
            <w:r>
              <w:rPr>
                <w:rFonts w:hint="eastAsia"/>
                <w:lang w:val="en-US" w:eastAsia="zh-CN"/>
              </w:rPr>
              <w:t>14</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30202</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印刷费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0.50</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15</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30207</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邮电费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8.00</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16</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30211</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差旅费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0.75</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17</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w:t>
            </w:r>
            <w:r>
              <w:rPr>
                <w:rStyle w:val="31"/>
                <w:lang w:val="en-US" w:eastAsia="zh-CN" w:bidi="ar"/>
              </w:rPr>
              <w:t>0213</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维修（护）费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0.25</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18</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30215</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会议费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0.23</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19</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30216</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培训费</w:t>
            </w:r>
          </w:p>
        </w:tc>
        <w:tc>
          <w:tcPr>
            <w:tcW w:w="1643" w:type="dxa"/>
            <w:textDirection w:val="lrTb"/>
            <w:vAlign w:val="center"/>
          </w:tcPr>
          <w:p>
            <w:pPr>
              <w:jc w:val="right"/>
            </w:pPr>
          </w:p>
        </w:tc>
        <w:tc>
          <w:tcPr>
            <w:tcW w:w="1643" w:type="dxa"/>
            <w:vAlign w:val="center"/>
          </w:tcPr>
          <w:p>
            <w:pPr>
              <w:pStyle w:val="13"/>
            </w:pPr>
          </w:p>
        </w:tc>
        <w:tc>
          <w:tcPr>
            <w:tcW w:w="1643" w:type="dxa"/>
            <w:textDirection w:val="lrTb"/>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20</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w:t>
            </w:r>
            <w:r>
              <w:rPr>
                <w:rStyle w:val="31"/>
                <w:lang w:val="en-US" w:eastAsia="zh-CN" w:bidi="ar"/>
              </w:rPr>
              <w:t>0217</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接待费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0.15</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rPr>
                <w:rFonts w:hint="eastAsia"/>
                <w:lang w:val="en-US" w:eastAsia="zh-CN"/>
              </w:rPr>
              <w:t>2</w:t>
            </w:r>
            <w:r>
              <w:t>1</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30228</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工会经费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2.21</w:t>
            </w:r>
          </w:p>
        </w:tc>
        <w:tc>
          <w:tcPr>
            <w:tcW w:w="1643" w:type="dxa"/>
            <w:vAlign w:val="center"/>
          </w:tcPr>
          <w:p>
            <w:pPr>
              <w:pStyle w:val="13"/>
              <w:jc w:val="center"/>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eastAsia="zh-CN"/>
              </w:rPr>
            </w:pPr>
            <w:r>
              <w:rPr>
                <w:rFonts w:hint="eastAsia"/>
                <w:lang w:val="en-US" w:eastAsia="zh-CN"/>
              </w:rPr>
              <w:t>22</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30229</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福利费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1.53</w:t>
            </w:r>
          </w:p>
        </w:tc>
        <w:tc>
          <w:tcPr>
            <w:tcW w:w="1643" w:type="dxa"/>
            <w:vAlign w:val="center"/>
          </w:tcPr>
          <w:p>
            <w:pPr>
              <w:pStyle w:val="13"/>
              <w:jc w:val="both"/>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eastAsia="zh-CN"/>
              </w:rPr>
            </w:pPr>
            <w:r>
              <w:rPr>
                <w:rFonts w:hint="eastAsia"/>
                <w:lang w:val="en-US" w:eastAsia="zh-CN"/>
              </w:rPr>
              <w:t>23</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w:t>
            </w:r>
            <w:r>
              <w:rPr>
                <w:rStyle w:val="31"/>
                <w:lang w:val="en-US" w:eastAsia="zh-CN" w:bidi="ar"/>
              </w:rPr>
              <w:t>0299</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退休干部公用经费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w:t>
            </w:r>
          </w:p>
        </w:tc>
        <w:tc>
          <w:tcPr>
            <w:tcW w:w="1643" w:type="dxa"/>
            <w:vAlign w:val="center"/>
          </w:tcPr>
          <w:p>
            <w:pPr>
              <w:pStyle w:val="13"/>
              <w:jc w:val="center"/>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24</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30299</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退休干部特需费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0.70</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25</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30299</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党组织活动经费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0.15</w:t>
            </w:r>
          </w:p>
        </w:tc>
        <w:tc>
          <w:tcPr>
            <w:tcW w:w="1643" w:type="dxa"/>
            <w:vAlign w:val="center"/>
          </w:tcPr>
          <w:p>
            <w:pPr>
              <w:pStyle w:val="13"/>
            </w:pPr>
          </w:p>
        </w:tc>
        <w:tc>
          <w:tcPr>
            <w:tcW w:w="1643" w:type="dxa"/>
            <w:vAlign w:val="center"/>
          </w:tcPr>
          <w:p>
            <w:pPr>
              <w:pStyle w:val="13"/>
              <w:rPr>
                <w:rFonts w:hint="eastAsia" w:eastAsia="方正书宋_GBK"/>
                <w:lang w:val="en-US" w:eastAsia="zh-CN"/>
              </w:rPr>
            </w:pPr>
            <w:r>
              <w:rPr>
                <w:rFonts w:hint="eastAsia" w:ascii="宋体" w:hAnsi="宋体" w:eastAsia="宋体" w:cs="宋体"/>
                <w:i w:val="0"/>
                <w:color w:val="000000"/>
                <w:kern w:val="0"/>
                <w:sz w:val="18"/>
                <w:szCs w:val="18"/>
                <w:u w:val="none"/>
                <w:lang w:val="en-US" w:eastAsia="zh-CN" w:bidi="ar"/>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26</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30231</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公务用车运行维护费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4.99</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rPr>
                <w:rFonts w:hint="eastAsia" w:eastAsia="方正书宋_GBK"/>
                <w:lang w:val="en-US" w:eastAsia="zh-CN"/>
              </w:rPr>
            </w:pPr>
            <w:r>
              <w:rPr>
                <w:rFonts w:hint="eastAsia" w:ascii="宋体" w:hAnsi="宋体" w:eastAsia="宋体" w:cs="宋体"/>
                <w:i w:val="0"/>
                <w:color w:val="000000"/>
                <w:kern w:val="0"/>
                <w:sz w:val="18"/>
                <w:szCs w:val="18"/>
                <w:u w:val="none"/>
                <w:lang w:val="en-US" w:eastAsia="zh-CN" w:bidi="ar"/>
              </w:rPr>
              <w:t>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27</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30239</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其他交通费用</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3.12</w:t>
            </w:r>
          </w:p>
        </w:tc>
        <w:tc>
          <w:tcPr>
            <w:tcW w:w="1643" w:type="dxa"/>
            <w:vAlign w:val="center"/>
          </w:tcPr>
          <w:p>
            <w:pPr>
              <w:pStyle w:val="13"/>
            </w:pP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eastAsia="zh-CN"/>
              </w:rPr>
            </w:pPr>
            <w:r>
              <w:rPr>
                <w:rFonts w:hint="eastAsia"/>
                <w:lang w:val="en-US" w:eastAsia="zh-CN"/>
              </w:rPr>
              <w:t>28</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30299</w:t>
            </w:r>
          </w:p>
        </w:tc>
        <w:tc>
          <w:tcPr>
            <w:tcW w:w="1643" w:type="dxa"/>
            <w:textDirection w:val="lrTb"/>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其他商品和服务支出</w:t>
            </w:r>
          </w:p>
        </w:tc>
        <w:tc>
          <w:tcPr>
            <w:tcW w:w="1643" w:type="dxa"/>
            <w:textDirection w:val="lrTb"/>
            <w:vAlign w:val="center"/>
          </w:tcPr>
          <w:p>
            <w:pPr>
              <w:jc w:val="right"/>
            </w:pPr>
          </w:p>
        </w:tc>
        <w:tc>
          <w:tcPr>
            <w:tcW w:w="1643" w:type="dxa"/>
            <w:vAlign w:val="center"/>
          </w:tcPr>
          <w:p>
            <w:pPr>
              <w:pStyle w:val="13"/>
              <w:wordWrap w:val="0"/>
              <w:rPr>
                <w:rFonts w:hint="eastAsia" w:eastAsia="方正书宋_GBK"/>
                <w:lang w:eastAsia="zh-CN"/>
              </w:rPr>
            </w:pPr>
            <w:r>
              <w:rPr>
                <w:rFonts w:hint="eastAsia"/>
                <w:lang w:val="en-US" w:eastAsia="zh-CN"/>
              </w:rPr>
              <w:t xml:space="preserve"> </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29</w:t>
            </w:r>
          </w:p>
        </w:tc>
        <w:tc>
          <w:tcPr>
            <w:tcW w:w="1643" w:type="dxa"/>
            <w:textDirection w:val="lrTb"/>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303</w:t>
            </w:r>
          </w:p>
        </w:tc>
        <w:tc>
          <w:tcPr>
            <w:tcW w:w="1643" w:type="dxa"/>
            <w:textDirection w:val="lrTb"/>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对个人和家庭的补助</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131.74</w:t>
            </w:r>
          </w:p>
        </w:tc>
        <w:tc>
          <w:tcPr>
            <w:tcW w:w="1643" w:type="dxa"/>
            <w:textDirection w:val="lrTb"/>
            <w:vAlign w:val="center"/>
          </w:tcPr>
          <w:p>
            <w:pPr>
              <w:keepNext w:val="0"/>
              <w:keepLines w:val="0"/>
              <w:widowControl/>
              <w:suppressLineNumbers w:val="0"/>
              <w:jc w:val="right"/>
              <w:textAlignment w:val="center"/>
              <w:rPr>
                <w:rFonts w:hint="eastAsia"/>
                <w:lang w:val="en-US" w:eastAsia="zh-CN"/>
              </w:rPr>
            </w:pPr>
            <w:r>
              <w:rPr>
                <w:rFonts w:hint="eastAsia" w:ascii="宋体" w:hAnsi="宋体" w:eastAsia="宋体" w:cs="宋体"/>
                <w:i w:val="0"/>
                <w:color w:val="000000"/>
                <w:kern w:val="0"/>
                <w:sz w:val="18"/>
                <w:szCs w:val="18"/>
                <w:u w:val="none"/>
                <w:lang w:val="en-US" w:eastAsia="zh-CN" w:bidi="ar"/>
              </w:rPr>
              <w:t>131.74</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30</w:t>
            </w:r>
          </w:p>
        </w:tc>
        <w:tc>
          <w:tcPr>
            <w:tcW w:w="1643" w:type="dxa"/>
            <w:textDirection w:val="lrTb"/>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30302</w:t>
            </w:r>
          </w:p>
        </w:tc>
        <w:tc>
          <w:tcPr>
            <w:tcW w:w="1643" w:type="dxa"/>
            <w:textDirection w:val="lrTb"/>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退休费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17.87</w:t>
            </w:r>
          </w:p>
        </w:tc>
        <w:tc>
          <w:tcPr>
            <w:tcW w:w="1643" w:type="dxa"/>
            <w:textDirection w:val="lrTb"/>
            <w:vAlign w:val="center"/>
          </w:tcPr>
          <w:p>
            <w:pPr>
              <w:keepNext w:val="0"/>
              <w:keepLines w:val="0"/>
              <w:widowControl/>
              <w:suppressLineNumbers w:val="0"/>
              <w:jc w:val="right"/>
              <w:textAlignment w:val="center"/>
              <w:rPr>
                <w:rFonts w:hint="eastAsia"/>
                <w:lang w:val="en-US" w:eastAsia="zh-CN"/>
              </w:rPr>
            </w:pPr>
            <w:r>
              <w:rPr>
                <w:rFonts w:hint="eastAsia" w:ascii="宋体" w:hAnsi="宋体" w:eastAsia="宋体" w:cs="宋体"/>
                <w:i w:val="0"/>
                <w:color w:val="000000"/>
                <w:kern w:val="0"/>
                <w:sz w:val="18"/>
                <w:szCs w:val="18"/>
                <w:u w:val="none"/>
                <w:lang w:val="en-US" w:eastAsia="zh-CN" w:bidi="ar"/>
              </w:rPr>
              <w:t>17.87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rPr>
                <w:rFonts w:hint="eastAsia" w:eastAsia="方正书宋_GBK"/>
                <w:lang w:val="en-US" w:eastAsia="zh-CN"/>
              </w:rPr>
            </w:pPr>
            <w:r>
              <w:rPr>
                <w:rFonts w:hint="eastAsia"/>
                <w:lang w:val="en-US" w:eastAsia="zh-CN"/>
              </w:rPr>
              <w:t>31</w:t>
            </w:r>
          </w:p>
        </w:tc>
        <w:tc>
          <w:tcPr>
            <w:tcW w:w="1643" w:type="dxa"/>
            <w:textDirection w:val="lrTb"/>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30215</w:t>
            </w:r>
          </w:p>
        </w:tc>
        <w:tc>
          <w:tcPr>
            <w:tcW w:w="1643" w:type="dxa"/>
            <w:textDirection w:val="lrTb"/>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其他对个人和家庭的补助</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0.64</w:t>
            </w:r>
          </w:p>
        </w:tc>
        <w:tc>
          <w:tcPr>
            <w:tcW w:w="1643" w:type="dxa"/>
            <w:textDirection w:val="lrTb"/>
            <w:vAlign w:val="center"/>
          </w:tcPr>
          <w:p>
            <w:pPr>
              <w:keepNext w:val="0"/>
              <w:keepLines w:val="0"/>
              <w:widowControl/>
              <w:suppressLineNumbers w:val="0"/>
              <w:jc w:val="right"/>
              <w:textAlignment w:val="center"/>
              <w:rPr>
                <w:rFonts w:hint="eastAsia"/>
                <w:lang w:val="en-US" w:eastAsia="zh-CN"/>
              </w:rPr>
            </w:pPr>
            <w:r>
              <w:rPr>
                <w:rFonts w:hint="eastAsia" w:ascii="宋体" w:hAnsi="宋体" w:eastAsia="宋体" w:cs="宋体"/>
                <w:i w:val="0"/>
                <w:color w:val="000000"/>
                <w:kern w:val="0"/>
                <w:sz w:val="18"/>
                <w:szCs w:val="18"/>
                <w:u w:val="none"/>
                <w:lang w:val="en-US" w:eastAsia="zh-CN" w:bidi="ar"/>
              </w:rPr>
              <w:t>0.64</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p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textDirection w:val="lrTb"/>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1.61</w:t>
            </w:r>
          </w:p>
        </w:tc>
        <w:tc>
          <w:tcPr>
            <w:tcW w:w="1643" w:type="dxa"/>
            <w:vAlign w:val="center"/>
          </w:tcPr>
          <w:p>
            <w:pPr>
              <w:pStyle w:val="17"/>
            </w:pPr>
          </w:p>
        </w:tc>
        <w:tc>
          <w:tcPr>
            <w:tcW w:w="1643" w:type="dxa"/>
            <w:textDirection w:val="lrTb"/>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textDirection w:val="lrTb"/>
            <w:vAlign w:val="center"/>
          </w:tcPr>
          <w:p>
            <w:pPr>
              <w:keepNext w:val="0"/>
              <w:keepLines w:val="0"/>
              <w:widowControl/>
              <w:suppressLineNumbers w:val="0"/>
              <w:jc w:val="left"/>
              <w:textAlignment w:val="center"/>
            </w:pPr>
            <w:r>
              <w:rPr>
                <w:rFonts w:hint="default" w:ascii="Courier New" w:hAnsi="Courier New" w:eastAsia="宋体" w:cs="Courier New"/>
                <w:i w:val="0"/>
                <w:color w:val="000000"/>
                <w:kern w:val="0"/>
                <w:sz w:val="21"/>
                <w:szCs w:val="21"/>
                <w:u w:val="none"/>
                <w:lang w:val="en-US" w:eastAsia="zh-CN" w:bidi="ar"/>
              </w:rPr>
              <w:t>229</w:t>
            </w:r>
          </w:p>
        </w:tc>
        <w:tc>
          <w:tcPr>
            <w:tcW w:w="1643" w:type="dxa"/>
            <w:textDirection w:val="lrTb"/>
            <w:vAlign w:val="center"/>
          </w:tcPr>
          <w:p>
            <w:pPr>
              <w:keepNext w:val="0"/>
              <w:keepLines w:val="0"/>
              <w:widowControl/>
              <w:suppressLineNumbers w:val="0"/>
              <w:jc w:val="left"/>
              <w:textAlignment w:val="center"/>
            </w:pPr>
            <w:r>
              <w:rPr>
                <w:rFonts w:hint="default" w:ascii="Times New Roman" w:hAnsi="Times New Roman" w:eastAsia="宋体" w:cs="Times New Roman"/>
                <w:i w:val="0"/>
                <w:color w:val="000000"/>
                <w:kern w:val="0"/>
                <w:sz w:val="21"/>
                <w:szCs w:val="21"/>
                <w:u w:val="none"/>
                <w:lang w:val="en-US" w:eastAsia="zh-CN" w:bidi="ar"/>
              </w:rPr>
              <w:t>其他支出</w:t>
            </w:r>
          </w:p>
        </w:tc>
        <w:tc>
          <w:tcPr>
            <w:tcW w:w="1643" w:type="dxa"/>
            <w:textDirection w:val="lrTb"/>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1.61</w:t>
            </w:r>
          </w:p>
        </w:tc>
        <w:tc>
          <w:tcPr>
            <w:tcW w:w="1643" w:type="dxa"/>
            <w:vAlign w:val="center"/>
          </w:tcPr>
          <w:p>
            <w:pPr>
              <w:pStyle w:val="13"/>
            </w:pPr>
          </w:p>
        </w:tc>
        <w:tc>
          <w:tcPr>
            <w:tcW w:w="1643" w:type="dxa"/>
            <w:textDirection w:val="lrTb"/>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textDirection w:val="lrTb"/>
            <w:vAlign w:val="center"/>
          </w:tcPr>
          <w:p>
            <w:pPr>
              <w:keepNext w:val="0"/>
              <w:keepLines w:val="0"/>
              <w:widowControl/>
              <w:suppressLineNumbers w:val="0"/>
              <w:jc w:val="left"/>
              <w:textAlignment w:val="center"/>
            </w:pPr>
            <w:r>
              <w:rPr>
                <w:rFonts w:hint="default" w:ascii="Times New Roman" w:hAnsi="Times New Roman" w:eastAsia="宋体" w:cs="Times New Roman"/>
                <w:i w:val="0"/>
                <w:color w:val="000000"/>
                <w:kern w:val="0"/>
                <w:sz w:val="21"/>
                <w:szCs w:val="21"/>
                <w:u w:val="none"/>
                <w:lang w:val="en-US" w:eastAsia="zh-CN" w:bidi="ar"/>
              </w:rPr>
              <w:t>22960</w:t>
            </w:r>
          </w:p>
        </w:tc>
        <w:tc>
          <w:tcPr>
            <w:tcW w:w="1643" w:type="dxa"/>
            <w:textDirection w:val="lrTb"/>
            <w:vAlign w:val="center"/>
          </w:tcPr>
          <w:p>
            <w:pPr>
              <w:keepNext w:val="0"/>
              <w:keepLines w:val="0"/>
              <w:widowControl/>
              <w:suppressLineNumbers w:val="0"/>
              <w:jc w:val="left"/>
              <w:textAlignment w:val="center"/>
            </w:pPr>
            <w:r>
              <w:rPr>
                <w:rFonts w:hint="default" w:ascii="Times New Roman" w:hAnsi="Times New Roman" w:eastAsia="宋体" w:cs="Times New Roman"/>
                <w:i w:val="0"/>
                <w:color w:val="000000"/>
                <w:kern w:val="0"/>
                <w:sz w:val="21"/>
                <w:szCs w:val="21"/>
                <w:u w:val="none"/>
                <w:lang w:val="en-US" w:eastAsia="zh-CN" w:bidi="ar"/>
              </w:rPr>
              <w:t>彩票公益金安排的支出</w:t>
            </w:r>
          </w:p>
        </w:tc>
        <w:tc>
          <w:tcPr>
            <w:tcW w:w="1643" w:type="dxa"/>
            <w:textDirection w:val="lrTb"/>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1.61</w:t>
            </w:r>
          </w:p>
        </w:tc>
        <w:tc>
          <w:tcPr>
            <w:tcW w:w="1643" w:type="dxa"/>
            <w:vAlign w:val="center"/>
          </w:tcPr>
          <w:p>
            <w:pPr>
              <w:pStyle w:val="13"/>
            </w:pPr>
          </w:p>
        </w:tc>
        <w:tc>
          <w:tcPr>
            <w:tcW w:w="1643" w:type="dxa"/>
            <w:textDirection w:val="lrTb"/>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textDirection w:val="lrTb"/>
            <w:vAlign w:val="center"/>
          </w:tcPr>
          <w:p>
            <w:pPr>
              <w:keepNext w:val="0"/>
              <w:keepLines w:val="0"/>
              <w:widowControl/>
              <w:suppressLineNumbers w:val="0"/>
              <w:jc w:val="left"/>
              <w:textAlignment w:val="center"/>
            </w:pPr>
            <w:r>
              <w:rPr>
                <w:rFonts w:hint="default" w:ascii="Times New Roman" w:hAnsi="Times New Roman" w:eastAsia="宋体" w:cs="Times New Roman"/>
                <w:i w:val="0"/>
                <w:color w:val="000000"/>
                <w:kern w:val="0"/>
                <w:sz w:val="21"/>
                <w:szCs w:val="21"/>
                <w:u w:val="none"/>
                <w:lang w:val="en-US" w:eastAsia="zh-CN" w:bidi="ar"/>
              </w:rPr>
              <w:t>2296003</w:t>
            </w:r>
          </w:p>
        </w:tc>
        <w:tc>
          <w:tcPr>
            <w:tcW w:w="1643" w:type="dxa"/>
            <w:textDirection w:val="lrTb"/>
            <w:vAlign w:val="center"/>
          </w:tcPr>
          <w:p>
            <w:pPr>
              <w:keepNext w:val="0"/>
              <w:keepLines w:val="0"/>
              <w:widowControl/>
              <w:suppressLineNumbers w:val="0"/>
              <w:jc w:val="left"/>
              <w:textAlignment w:val="center"/>
            </w:pPr>
            <w:r>
              <w:rPr>
                <w:rFonts w:hint="default" w:ascii="Times New Roman" w:hAnsi="Times New Roman" w:eastAsia="宋体" w:cs="Times New Roman"/>
                <w:i w:val="0"/>
                <w:color w:val="000000"/>
                <w:kern w:val="0"/>
                <w:sz w:val="21"/>
                <w:szCs w:val="21"/>
                <w:u w:val="none"/>
                <w:lang w:val="en-US" w:eastAsia="zh-CN" w:bidi="ar"/>
              </w:rPr>
              <w:t>用于体育事业的彩票公益金支出</w:t>
            </w:r>
          </w:p>
        </w:tc>
        <w:tc>
          <w:tcPr>
            <w:tcW w:w="1643" w:type="dxa"/>
            <w:textDirection w:val="lrTb"/>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1.61</w:t>
            </w:r>
          </w:p>
        </w:tc>
        <w:tc>
          <w:tcPr>
            <w:tcW w:w="1643" w:type="dxa"/>
            <w:vAlign w:val="center"/>
          </w:tcPr>
          <w:p>
            <w:pPr>
              <w:pStyle w:val="13"/>
            </w:pPr>
          </w:p>
        </w:tc>
        <w:tc>
          <w:tcPr>
            <w:tcW w:w="1643" w:type="dxa"/>
            <w:textDirection w:val="lrTb"/>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p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357石家庄市长安区文化广电体育和旅游局</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w:t>
            </w:r>
            <w:r>
              <w:rPr>
                <w:rFonts w:hint="eastAsia"/>
                <w:lang w:val="en-US" w:eastAsia="zh-CN"/>
              </w:rPr>
              <w:t>万</w:t>
            </w:r>
            <w:r>
              <w:t>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pPr/>
          </w:p>
        </w:tc>
        <w:tc>
          <w:tcPr>
            <w:tcW w:w="1643" w:type="dxa"/>
          </w:tcPr>
          <w:p>
            <w:pPr/>
          </w:p>
        </w:tc>
        <w:tc>
          <w:tcPr>
            <w:tcW w:w="1643"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pPr/>
          </w:p>
        </w:tc>
        <w:tc>
          <w:tcPr>
            <w:tcW w:w="1643" w:type="dxa"/>
            <w:vMerge w:val="continue"/>
          </w:tcPr>
          <w:p>
            <w:p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b/>
                <w:bCs/>
                <w:i w:val="0"/>
                <w:color w:val="000000"/>
                <w:kern w:val="0"/>
                <w:sz w:val="18"/>
                <w:szCs w:val="18"/>
                <w:u w:val="none"/>
                <w:lang w:val="en-US" w:eastAsia="zh-CN" w:bidi="ar"/>
              </w:rPr>
              <w:t>5.14</w:t>
            </w:r>
          </w:p>
        </w:tc>
        <w:tc>
          <w:tcPr>
            <w:tcW w:w="1643" w:type="dxa"/>
            <w:vAlign w:val="center"/>
          </w:tcPr>
          <w:p>
            <w:pPr>
              <w:pStyle w:val="17"/>
            </w:pPr>
            <w:r>
              <w:rPr>
                <w:rFonts w:hint="eastAsia" w:ascii="宋体" w:hAnsi="宋体" w:eastAsia="宋体" w:cs="宋体"/>
                <w:i w:val="0"/>
                <w:color w:val="000000"/>
                <w:kern w:val="0"/>
                <w:sz w:val="18"/>
                <w:szCs w:val="18"/>
                <w:u w:val="none"/>
                <w:lang w:val="en-US" w:eastAsia="zh-CN" w:bidi="ar"/>
              </w:rPr>
              <w:t>5.14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textDirection w:val="lrTb"/>
            <w:vAlign w:val="center"/>
          </w:tcPr>
          <w:p>
            <w:pPr>
              <w:jc w:val="right"/>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textDirection w:val="lrTb"/>
            <w:vAlign w:val="center"/>
          </w:tcPr>
          <w:p>
            <w:pPr>
              <w:jc w:val="right"/>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textDirection w:val="lrTb"/>
            <w:vAlign w:val="center"/>
          </w:tcPr>
          <w:p>
            <w:pPr>
              <w:jc w:val="right"/>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textDirection w:val="lrTb"/>
            <w:vAlign w:val="center"/>
          </w:tcPr>
          <w:p>
            <w:pPr>
              <w:jc w:val="right"/>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4.99</w:t>
            </w:r>
          </w:p>
        </w:tc>
        <w:tc>
          <w:tcPr>
            <w:tcW w:w="1643" w:type="dxa"/>
            <w:vAlign w:val="center"/>
          </w:tcPr>
          <w:p>
            <w:pPr>
              <w:pStyle w:val="13"/>
            </w:pPr>
            <w:r>
              <w:rPr>
                <w:rFonts w:hint="eastAsia" w:ascii="宋体" w:hAnsi="宋体" w:eastAsia="宋体" w:cs="宋体"/>
                <w:i w:val="0"/>
                <w:color w:val="000000"/>
                <w:kern w:val="0"/>
                <w:sz w:val="18"/>
                <w:szCs w:val="18"/>
                <w:u w:val="none"/>
                <w:lang w:val="en-US" w:eastAsia="zh-CN" w:bidi="ar"/>
              </w:rPr>
              <w:t>4.99</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textDirection w:val="lrTb"/>
            <w:vAlign w:val="center"/>
          </w:tcPr>
          <w:p>
            <w:pPr>
              <w:jc w:val="right"/>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4.99</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4.99</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0.15</w:t>
            </w:r>
          </w:p>
        </w:tc>
        <w:tc>
          <w:tcPr>
            <w:tcW w:w="1643" w:type="dxa"/>
            <w:textDirection w:val="lrTb"/>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0.15</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石家庄市长安区文化广电体育和旅游局2022年部门预算信息公开情况说明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石家庄市长安区文化广电体育和旅游局2022年部门预算信息公开情况说明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按照《预算法》、《地方预决算公开操作规程》和《关于进一步推进预算公开工作的实施意见》规定，现将石家庄市长安区文化广电体育和旅游局2022年部门预算公开如下：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（一）贯彻执行党和国家文化、广播电视、网络视听节目服务管理、体育和旅游工作的方针政策和法律法规。贯彻落实我区文化、广播电视、体育和旅游政策措施。</w:t>
      </w:r>
    </w:p>
    <w:p>
      <w:pPr>
        <w:pStyle w:val="19"/>
      </w:pPr>
      <w:r>
        <w:t>（二）拟定全区文化事业、文化产业、广播电视领域、体育和旅游业发展规划并组织实施，推进文化、广播电视、体育和旅游融合发展，推进文化、广播电视、体育和旅游体制机制改革。</w:t>
      </w:r>
    </w:p>
    <w:p>
      <w:pPr>
        <w:pStyle w:val="19"/>
      </w:pPr>
      <w:r>
        <w:t>（三）管理和组织全区重大文化和旅游活动，组织实施全区广播电视公共服务重大公益工程和公益活动。监管全区重点文化和旅游设施建设，组织长安区文化和旅游整体形象推广，促进文化产业和旅游产业对外合作和国际市场推广；负责组织推进全域旅游工作。</w:t>
      </w:r>
    </w:p>
    <w:p>
      <w:pPr>
        <w:pStyle w:val="19"/>
      </w:pPr>
      <w:r>
        <w:t>（四）指导、管理全区文艺事业。指导艺术创作生产，推动全区各门类艺术、各艺术品种发展。指导全区电视剧行业发展和电视剧创作生产。</w:t>
      </w:r>
    </w:p>
    <w:p>
      <w:pPr>
        <w:pStyle w:val="19"/>
      </w:pPr>
      <w:r>
        <w:t>（五）负责全区公共文化和旅游事业发展。推动全区文化、广播电视和旅游公共服务体系建设，深入实施文化惠民工程，统筹推进全区文化、广播电视和旅游服务标准化、均等化。</w:t>
      </w:r>
    </w:p>
    <w:p>
      <w:pPr>
        <w:pStyle w:val="19"/>
      </w:pPr>
      <w:r>
        <w:t xml:space="preserve">（六）推进全区文化、广播电视和旅游科技创新发展，推进文化和旅游行业信息化、标准化建设。 </w:t>
      </w:r>
    </w:p>
    <w:p>
      <w:pPr>
        <w:pStyle w:val="19"/>
      </w:pPr>
      <w:r>
        <w:rPr>
          <w:rFonts w:hint="eastAsia"/>
          <w:lang w:val="en-US" w:eastAsia="zh-CN"/>
        </w:rPr>
        <w:t xml:space="preserve">   </w:t>
      </w:r>
      <w:r>
        <w:t>(七）负责全区非物质文化遗产保护，推动非物质文化遗产的保护、传承、普及、弘扬和振兴。</w:t>
      </w:r>
    </w:p>
    <w:p>
      <w:pPr>
        <w:pStyle w:val="19"/>
      </w:pPr>
      <w:r>
        <w:t>（八）统筹规划全区文化产业和旅游产业。组织实施文化和旅游资源普查、挖掘、保护和开发利用工作，促进文化产业和旅游产业发展。</w:t>
      </w:r>
    </w:p>
    <w:p>
      <w:pPr>
        <w:pStyle w:val="19"/>
      </w:pPr>
      <w:r>
        <w:t>（九）负责文化遗产的管理和保护，指导和管理文物事业，组织指导文物的保护抢救、考古发掘和开发利用工作。</w:t>
      </w:r>
    </w:p>
    <w:p>
      <w:pPr>
        <w:pStyle w:val="19"/>
      </w:pPr>
      <w:r>
        <w:t>（十）承担全区文化、广播电视和旅游行业安全综合协调和监督管理工作，负责全区文化、广播电视和旅游行业突发应急事件的处理工作。</w:t>
      </w:r>
    </w:p>
    <w:p>
      <w:pPr>
        <w:pStyle w:val="19"/>
      </w:pPr>
      <w:r>
        <w:t>（十一）负责统筹规划全区群众体育发展，推行全民健身计划，开展群众性体育活动，实施国家体育锻炼标准，开展国民体质监测，负责公共体育设施建设及监督管理工作。</w:t>
      </w:r>
    </w:p>
    <w:p>
      <w:pPr>
        <w:pStyle w:val="19"/>
      </w:pPr>
      <w:r>
        <w:t>（十二）指导体育社团工作。</w:t>
      </w:r>
    </w:p>
    <w:p>
      <w:pPr>
        <w:pStyle w:val="19"/>
      </w:pPr>
      <w:r>
        <w:t>（十三）负责体育系统的安全生产监管工作。</w:t>
      </w:r>
    </w:p>
    <w:p>
      <w:pPr>
        <w:pStyle w:val="19"/>
      </w:pPr>
      <w:r>
        <w:t>（十四）完成区委、区政府交办的其他任务。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石家庄市长安区文化广电体育和旅游局本级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line="500" w:lineRule="atLeast"/>
        <w:ind w:left="0" w:leftChars="0" w:right="0" w:rightChars="0" w:firstLine="560"/>
        <w:jc w:val="left"/>
        <w:textAlignment w:val="auto"/>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区</w:t>
      </w:r>
      <w:r>
        <w:rPr>
          <w:rFonts w:ascii="Times New Roman" w:hAnsi="Times New Roman" w:eastAsia="方正仿宋_GBK" w:cs="Times New Roman"/>
          <w:color w:val="000000"/>
          <w:sz w:val="28"/>
        </w:rPr>
        <w:t>部门预算的编制实行综合预算管理，即全部收入和支出都反映在预算中。石家庄市长安区文化广电体育和旅游局机关及所属事业单位的收支包含在部门预算中。</w:t>
      </w:r>
    </w:p>
    <w:p>
      <w:pPr>
        <w:pStyle w:val="20"/>
        <w:keepNext w:val="0"/>
        <w:keepLines w:val="0"/>
        <w:pageBreakBefore w:val="0"/>
        <w:widowControl/>
        <w:kinsoku/>
        <w:wordWrap/>
        <w:overflowPunct/>
        <w:topLinePunct w:val="0"/>
        <w:autoSpaceDE/>
        <w:autoSpaceDN/>
        <w:bidi w:val="0"/>
        <w:adjustRightInd/>
        <w:snapToGrid/>
        <w:spacing w:before="0" w:after="0" w:line="500" w:lineRule="atLeast"/>
        <w:ind w:left="0" w:leftChars="0" w:right="0" w:rightChars="0"/>
        <w:jc w:val="left"/>
        <w:textAlignment w:val="auto"/>
        <w:rPr>
          <w:rFonts w:ascii="Times New Roman" w:hAnsi="Times New Roman" w:eastAsia="方正仿宋_GBK" w:cs="Times New Roman"/>
          <w:sz w:val="28"/>
          <w:szCs w:val="24"/>
          <w:lang w:val="en-US" w:eastAsia="uk-UA" w:bidi="ar-SA"/>
        </w:rPr>
      </w:pPr>
      <w:r>
        <w:rPr>
          <w:rFonts w:hint="eastAsia"/>
          <w:lang w:val="en-US" w:eastAsia="zh-CN"/>
        </w:rPr>
        <w:t xml:space="preserve"> </w:t>
      </w:r>
      <w:r>
        <w:rPr>
          <w:rFonts w:ascii="Times New Roman" w:hAnsi="Times New Roman" w:eastAsia="方正仿宋_GBK" w:cs="Times New Roman"/>
          <w:sz w:val="28"/>
          <w:szCs w:val="24"/>
          <w:lang w:val="en-US" w:eastAsia="uk-UA" w:bidi="ar-SA"/>
        </w:rPr>
        <w:t>1、收入说明</w:t>
      </w:r>
    </w:p>
    <w:p>
      <w:pPr>
        <w:keepNext w:val="0"/>
        <w:keepLines w:val="0"/>
        <w:pageBreakBefore w:val="0"/>
        <w:widowControl/>
        <w:kinsoku/>
        <w:wordWrap/>
        <w:overflowPunct/>
        <w:topLinePunct w:val="0"/>
        <w:autoSpaceDE/>
        <w:autoSpaceDN/>
        <w:bidi w:val="0"/>
        <w:adjustRightInd/>
        <w:snapToGrid/>
        <w:spacing w:line="500" w:lineRule="atLeast"/>
        <w:ind w:left="0" w:leftChars="0" w:right="0" w:rightChars="0"/>
        <w:jc w:val="left"/>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 xml:space="preserve"> 反映本部门当年全部财政收入。 2022年收入预算390.78万元，比去年减少202.68 万元，下降34.15%。按照收入来源划分：财政拨款收入389.17万元，占预算100%；事业收入0万元，占预算0%。按照功能科目划分：文化旅游与传媒支出389.17万元，占预算99.59%； 其他支出1.61万元，占预算0.41%。 </w:t>
      </w:r>
    </w:p>
    <w:p>
      <w:pPr>
        <w:keepNext w:val="0"/>
        <w:keepLines w:val="0"/>
        <w:pageBreakBefore w:val="0"/>
        <w:widowControl/>
        <w:kinsoku/>
        <w:wordWrap/>
        <w:overflowPunct/>
        <w:topLinePunct w:val="0"/>
        <w:autoSpaceDE/>
        <w:autoSpaceDN/>
        <w:bidi w:val="0"/>
        <w:adjustRightInd/>
        <w:snapToGrid/>
        <w:spacing w:line="500" w:lineRule="atLeast"/>
        <w:ind w:left="0" w:leftChars="0" w:right="0" w:rightChars="0"/>
        <w:jc w:val="left"/>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 xml:space="preserve"> </w:t>
      </w:r>
      <w:r>
        <w:rPr>
          <w:rFonts w:hint="eastAsia"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2、支出说明</w:t>
      </w:r>
    </w:p>
    <w:p>
      <w:pPr>
        <w:keepNext w:val="0"/>
        <w:keepLines w:val="0"/>
        <w:pageBreakBefore w:val="0"/>
        <w:widowControl/>
        <w:kinsoku/>
        <w:wordWrap/>
        <w:overflowPunct/>
        <w:topLinePunct w:val="0"/>
        <w:autoSpaceDE/>
        <w:autoSpaceDN/>
        <w:bidi w:val="0"/>
        <w:adjustRightInd/>
        <w:snapToGrid/>
        <w:spacing w:line="500" w:lineRule="atLeast"/>
        <w:ind w:left="0" w:leftChars="0" w:right="0" w:rightChars="0"/>
        <w:jc w:val="left"/>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收支预算总表支出栏、基本支出表、项目支出表按经济分类和支出功能分类科目编制，反映年度部门预算中支出预算的总体情况。 2022年支出预算390.78万元，比去年减少202.68万元，下降34.15%。其中：基本支出366.57万元，占预算94.19%,其中，人员经费340.49万元，主要包括：基本工资、津贴补贴、奖金、社会保障缴费、离休费、退休费、生活补助、奖励金、住房公积金、采暖补贴、其他对个人和家庭的补助支出等；公用经费26.08万元，主要包括：办公费、印刷费、邮电费、差旅费、培训费、公务接待费、工会经费、福利费、公务用车运行维护费、其他交通费用、其他商品和服务支出等。项目支出22.6万元，占预算5.81%,主要包括：文体中心运行经费、彩色周末活动经费、省级补助地方三馆一站免费开放资金、省级非遗补助经费;其他支出1.61万元,主要是体育彩票公益金支出 。</w:t>
      </w:r>
    </w:p>
    <w:p>
      <w:pPr>
        <w:pStyle w:val="20"/>
        <w:keepNext w:val="0"/>
        <w:keepLines w:val="0"/>
        <w:pageBreakBefore w:val="0"/>
        <w:widowControl/>
        <w:kinsoku/>
        <w:wordWrap/>
        <w:overflowPunct/>
        <w:topLinePunct w:val="0"/>
        <w:autoSpaceDE/>
        <w:autoSpaceDN/>
        <w:bidi w:val="0"/>
        <w:adjustRightInd/>
        <w:snapToGrid/>
        <w:spacing w:before="0" w:after="0" w:line="500" w:lineRule="atLeast"/>
        <w:ind w:left="0" w:leftChars="0" w:right="0" w:rightChars="0"/>
        <w:jc w:val="left"/>
        <w:textAlignment w:val="auto"/>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3、比上年增减情况</w:t>
      </w:r>
    </w:p>
    <w:p>
      <w:pPr>
        <w:keepNext w:val="0"/>
        <w:keepLines w:val="0"/>
        <w:pageBreakBefore w:val="0"/>
        <w:widowControl/>
        <w:kinsoku/>
        <w:wordWrap/>
        <w:overflowPunct/>
        <w:topLinePunct w:val="0"/>
        <w:autoSpaceDE/>
        <w:autoSpaceDN/>
        <w:bidi w:val="0"/>
        <w:adjustRightInd/>
        <w:snapToGrid/>
        <w:spacing w:line="500" w:lineRule="atLeast"/>
        <w:ind w:left="0" w:leftChars="0" w:right="0" w:rightChars="0"/>
        <w:jc w:val="left"/>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 xml:space="preserve">  2022年预算收支安排390.78万元，较2021年预算下降202.68万元，下降34.15%。其中：基本支出减少154.74万元，主要是减少人员经费147.03万元和日常公用经费减少7.71万元；项目支出减少49.55万元，主要原因是各专项经费都消减；其他支出无增减变化。</w:t>
      </w:r>
    </w:p>
    <w:p>
      <w:pPr>
        <w:keepNext w:val="0"/>
        <w:keepLines w:val="0"/>
        <w:pageBreakBefore w:val="0"/>
        <w:widowControl/>
        <w:kinsoku/>
        <w:wordWrap/>
        <w:overflowPunct/>
        <w:topLinePunct w:val="0"/>
        <w:autoSpaceDE/>
        <w:autoSpaceDN/>
        <w:bidi w:val="0"/>
        <w:adjustRightInd/>
        <w:snapToGrid/>
        <w:spacing w:line="500" w:lineRule="atLeast"/>
        <w:ind w:right="0" w:rightChars="0"/>
        <w:jc w:val="left"/>
        <w:textAlignment w:val="auto"/>
        <w:outlineLvl w:val="2"/>
        <w:rPr>
          <w:rFonts w:ascii="Times New Roman" w:hAnsi="Times New Roman" w:eastAsia="方正仿宋_GBK" w:cs="Times New Roman"/>
          <w:sz w:val="28"/>
          <w:szCs w:val="24"/>
          <w:lang w:val="en-US" w:eastAsia="uk-UA" w:bidi="ar-SA"/>
        </w:rPr>
      </w:pPr>
      <w:bookmarkStart w:id="11" w:name="_Toc_3_3_0000000012"/>
      <w:r>
        <w:rPr>
          <w:rFonts w:hint="eastAsia"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三、机关运行经费安排情况</w:t>
      </w:r>
      <w:bookmarkEnd w:id="11"/>
    </w:p>
    <w:p>
      <w:pPr>
        <w:keepNext w:val="0"/>
        <w:keepLines w:val="0"/>
        <w:pageBreakBefore w:val="0"/>
        <w:widowControl/>
        <w:kinsoku/>
        <w:wordWrap/>
        <w:overflowPunct/>
        <w:topLinePunct w:val="0"/>
        <w:autoSpaceDE/>
        <w:autoSpaceDN/>
        <w:bidi w:val="0"/>
        <w:adjustRightInd/>
        <w:snapToGrid/>
        <w:spacing w:line="500" w:lineRule="atLeast"/>
        <w:ind w:left="0" w:leftChars="0" w:right="0" w:rightChars="0"/>
        <w:jc w:val="left"/>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2022年机关运行经费财政拨款预算26.08万元，较2021年预算减少7.71万元，下降22.81%。主要原因是减少5名正式人员，及压减支出。</w:t>
      </w:r>
    </w:p>
    <w:p>
      <w:pPr>
        <w:keepNext w:val="0"/>
        <w:keepLines w:val="0"/>
        <w:pageBreakBefore w:val="0"/>
        <w:widowControl/>
        <w:numPr>
          <w:ilvl w:val="0"/>
          <w:numId w:val="1"/>
        </w:numPr>
        <w:kinsoku/>
        <w:wordWrap/>
        <w:overflowPunct/>
        <w:topLinePunct w:val="0"/>
        <w:autoSpaceDE/>
        <w:autoSpaceDN/>
        <w:bidi w:val="0"/>
        <w:adjustRightInd/>
        <w:snapToGrid/>
        <w:spacing w:line="500" w:lineRule="atLeast"/>
        <w:ind w:left="0" w:leftChars="0" w:right="0" w:rightChars="0" w:firstLine="640"/>
        <w:jc w:val="left"/>
        <w:textAlignment w:val="auto"/>
        <w:outlineLvl w:val="2"/>
        <w:rPr>
          <w:rFonts w:ascii="Times New Roman" w:hAnsi="Times New Roman" w:eastAsia="方正仿宋_GBK" w:cs="Times New Roman"/>
          <w:sz w:val="28"/>
          <w:szCs w:val="24"/>
          <w:lang w:val="en-US" w:eastAsia="uk-UA" w:bidi="ar-SA"/>
        </w:rPr>
      </w:pPr>
      <w:bookmarkStart w:id="12" w:name="_Toc_3_3_0000000013"/>
      <w:r>
        <w:rPr>
          <w:rFonts w:ascii="Times New Roman" w:hAnsi="Times New Roman" w:eastAsia="方正仿宋_GBK" w:cs="Times New Roman"/>
          <w:sz w:val="28"/>
          <w:szCs w:val="24"/>
          <w:lang w:val="en-US" w:eastAsia="uk-UA" w:bidi="ar-SA"/>
        </w:rPr>
        <w:t>财政拨款“三公”经费预算情况及增减变化原因</w:t>
      </w:r>
      <w:bookmarkEnd w:id="12"/>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0" w:leftChars="0" w:right="0" w:rightChars="0"/>
        <w:jc w:val="left"/>
        <w:textAlignment w:val="auto"/>
        <w:outlineLvl w:val="2"/>
      </w:pPr>
      <w:r>
        <w:rPr>
          <w:rFonts w:hint="eastAsia" w:ascii="Times New Roman" w:hAnsi="Times New Roman" w:eastAsia="方正仿宋_GBK" w:cs="Times New Roman"/>
          <w:sz w:val="28"/>
          <w:szCs w:val="24"/>
          <w:lang w:val="en-US" w:eastAsia="uk-UA" w:bidi="ar-SA"/>
        </w:rPr>
        <w:t xml:space="preserve"> 2022年“三公”经费财政拨款预算5.14万元，与上年相比减少0.05万元，下降8.5%。其中：因公出国（境）费0万元，与上年持平，主要原因为年初没有安排因公出国费；公务用车购置及运维费4.99万元（全部为公务用车运行维护费），与上年相比持平；公务接待费0.15万元，与上年相比减少0.05万元，主要原因为人员减少及压减支出。</w:t>
      </w:r>
    </w:p>
    <w:p>
      <w:pPr>
        <w:keepNext w:val="0"/>
        <w:keepLines w:val="0"/>
        <w:pageBreakBefore w:val="0"/>
        <w:widowControl/>
        <w:kinsoku/>
        <w:wordWrap/>
        <w:overflowPunct/>
        <w:topLinePunct w:val="0"/>
        <w:autoSpaceDE/>
        <w:autoSpaceDN/>
        <w:bidi w:val="0"/>
        <w:adjustRightInd/>
        <w:snapToGrid/>
        <w:spacing w:line="500" w:lineRule="atLeast"/>
        <w:ind w:left="0" w:leftChars="0" w:right="0" w:rightChars="0" w:firstLine="640"/>
        <w:jc w:val="left"/>
        <w:textAlignment w:val="auto"/>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总体绩效目标：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按照《中共石家庄市长安区委常委会2021年工作要点》和《深入开展“三重四创五优化”活动 扎实推动“十四五”开好局起好步的实施方案》任务分工，2022年，我局要继续大力推动辖区文化体育和旅游事业。</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大力弘扬社会主义核心价值观，丰富辖区群众精神文化生活。</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引导群众科学健身，积极开展全民健身活动。</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加大行业督导力度，推动全区旅游升级、提质增效。</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加大文物保护力度，传承优秀传统文化。</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（二）分项绩效目标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辖区群众精神文化生活</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绩效目标：大力弘扬社会主义核心价值观，丰富辖区群众精神文化生活。</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绩效指标：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是依托区图书馆、文化馆及各分馆、街镇综合文化站、社区文化活动中心做好公共文化服务场所免费开放服务。</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是继续举办“幸福社区一家亲”“彩色周末”“非遗进社区”“传统文化进校园”等特色活动，推动品牌文艺活动上规模、上水平，提高吸引力和影响力。</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是不断丰富和繁荣惠民演出项目，邀请各级文艺院团深入基层一线惠民演出，持续推进“送戏下乡”活动，引导优质文艺资源进企业、进农村、进校园、进社区、进军营。</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是加强文艺人才队伍建设。完善艺术人才培养体系，充分发挥区文化馆人才培养主阵地作用，不断推出基层文艺人才，组织开展广场舞大赛、歌手大赛、合唱比赛等活动，全面提升文化骨干人才舞台表演水平，提高人才培养质量。</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全民健身</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绩效目标：引导群众科学健身，积极开展全民健身活动。</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绩效指标：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是加快推进区级全民健身中心建设进度，力争早日投入使用。</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是完善公共体育健身设施，提升老旧小区体育配套设施，加大管理力度，维护好现有健身路径。</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是打造以健步行、健身球、广场舞等全民健身品牌活动。组织举办 “全民健身日”“重阳节”、健身秧歌、柔力球、太极拳（剑）、中华通络操、健身气功、门球、社区运动会、广播体操等活动。</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是完善全民健身体育组织机构，不断壮大我区的全民健身队伍。组织社会体育指导员培训班4-6次，健身公益大讲堂3次。五是加大全民健身与健康融合中心工作力度，开展好国民体质监测活动，引导居民科学健身，加快基层体育组织实体化进程。</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推动全区旅游升级</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绩效目标：加大行业督导力度，推动全区旅游升级、提质增效。</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绩效指标：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是加快推进石酒产业园项目设施建设。</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是补足勒泰中心景区基础设施短板，对栗康街环道进行景观打造；对现有停车场充电设施进行改造提升。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是继续与商务局配合对庄里街进行打造升级，对街区品牌结构优化；对商家店招进行提升改造；配合市局举办活动，促进特色街区消费。</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是加大旅游行业督导检查力度，规范市场秩序，全面排查行业安全隐患。</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是督导企业持续落实疫情防控相关措施，对疫情进行常态化防控。六是开展从业人员培训，提升旅游行业人员素质，营造安全、优质、文明、和谐的旅游环境。</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辖区文物保护</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绩效目标：加大文物保护力度，传承优秀传统文化。</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绩效指标：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是加大文物保护工作力度。每季度对辖区内文保单位部署一次消防安全自查工作，要求各单位科学有效开展工作，对文物数量较多的单位，精准到个位数。督促各街镇建立健全24小时文物值班制度，确保随时有人管、出事及时到的新常态。对发现的消防安全隐患，及时下发隐患整改通知书，督促整改。完成东垣古城遗址保护规划编制（修编）工作。配合市文广旅局做好东垣古城遗址公园的设计工作。</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是加强非遗项目挖掘和传承人培训工作。采取多种形式挖掘、提炼非遗项目，抓好现有非遗项目和传承人的自我提升和优化创新，加强传承培训和传承研习工作，做好非遗项目、传承人申报工作。</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是加强文物保护和非遗展示宣传工作。围绕传承优秀传统文化、展示非遗技艺主题，组织开展非遗进社区、进校园、进景区等活动，面向社区群众、学生进行宣传和培训，提升群众参与度、知晓度。</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工作保障措施：</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 xml:space="preserve"> 完善制度建设。制定完善预算绩效管理制度、资金管理办法、工作保障制度等，为全年预算绩效目标的实现奠定制度基础。</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加强支出管理。通过优化支出结构、编细编实预算、加快履行政府采购手续、尽快启动项目、及时支付资金、6月底前细化代编预算、按规定及时下达资金等多种措施，确保支出进度达标。</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加强绩效运行监控。按要求开展绩效运行监控，发现问题及时采取措施，确保绩效目标如期保质实现。</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做好绩效自评。按要求开展上年度部门预算绩效自评和重点评价工作，对评价中发现的问题及时整改，调整优化支出结构，提高财政资金使用效益。</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规范财务资产管理。完善财务管理制度，严格审批程序，加强固定资产登记、使用和报废处置管理，做到支出合理，物尽其用。</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加强内部监督。加强内部监督制度建设，对绩效运行情况、重大支出决策、对外投资、资产处置及其他重要经济业务事项的决策和执行进行督导，并配合做好审计、财政监督等外部监督工作，确保财政资金安全有效。</w:t>
      </w:r>
    </w:p>
    <w:p>
      <w:pPr>
        <w:keepNext w:val="0"/>
        <w:keepLines w:val="0"/>
        <w:pageBreakBefore w:val="0"/>
        <w:widowControl/>
        <w:numPr>
          <w:ilvl w:val="0"/>
          <w:numId w:val="0"/>
        </w:numPr>
        <w:kinsoku/>
        <w:wordWrap/>
        <w:overflowPunct/>
        <w:topLinePunct w:val="0"/>
        <w:autoSpaceDE/>
        <w:autoSpaceDN/>
        <w:bidi w:val="0"/>
        <w:adjustRightInd/>
        <w:snapToGrid/>
        <w:spacing w:line="500" w:lineRule="atLeast"/>
        <w:ind w:left="640" w:leftChars="0" w:right="0" w:rightChars="0"/>
        <w:jc w:val="left"/>
        <w:textAlignment w:val="auto"/>
        <w:outlineLvl w:val="2"/>
      </w:pPr>
      <w:r>
        <w:rPr>
          <w:rFonts w:hint="eastAsia" w:eastAsia="方正仿宋_GBK" w:cs="Times New Roman"/>
          <w:sz w:val="28"/>
          <w:szCs w:val="24"/>
          <w:lang w:val="en-US" w:eastAsia="zh-CN" w:bidi="ar-SA"/>
        </w:rPr>
        <w:t>7、</w:t>
      </w:r>
      <w:r>
        <w:rPr>
          <w:rFonts w:hint="eastAsia" w:ascii="Times New Roman" w:hAnsi="Times New Roman" w:eastAsia="方正仿宋_GBK" w:cs="Times New Roman"/>
          <w:sz w:val="28"/>
          <w:szCs w:val="24"/>
          <w:lang w:val="en-US" w:eastAsia="uk-UA" w:bidi="ar-SA"/>
        </w:rP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 xml:space="preserve"> </w:t>
      </w: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spacing w:before="0" w:after="0" w:line="240" w:lineRule="auto"/>
        <w:ind w:firstLine="640"/>
        <w:jc w:val="left"/>
        <w:outlineLvl w:val="9"/>
      </w:pPr>
      <w:r>
        <w:rPr>
          <w:rFonts w:ascii="方正仿宋_GBK" w:hAnsi="方正仿宋_GBK" w:eastAsia="方正仿宋_GBK" w:cs="方正仿宋_GBK"/>
          <w:b/>
          <w:color w:val="000000"/>
          <w:sz w:val="28"/>
        </w:rPr>
        <w:t>1、2022年省级“三馆一站”免费开放补助资金绩效目标表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1.16个文化站免费开放资金</w:t>
            </w:r>
          </w:p>
          <w:p>
            <w:pPr>
              <w:pStyle w:val="14"/>
            </w:pPr>
            <w:r>
              <w:t>2.文化馆、图书馆免费开放资金</w:t>
            </w:r>
          </w:p>
          <w:p>
            <w:pPr>
              <w:pStyle w:val="14"/>
            </w:pPr>
            <w:r>
              <w:t>3.丰富辖区群众精神文化生活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补助资金到位率</w:t>
            </w:r>
          </w:p>
        </w:tc>
        <w:tc>
          <w:tcPr>
            <w:tcW w:w="2466" w:type="dxa"/>
            <w:vAlign w:val="center"/>
          </w:tcPr>
          <w:p>
            <w:pPr>
              <w:pStyle w:val="14"/>
            </w:pPr>
            <w:r>
              <w:t>补助资金到位情况</w:t>
            </w:r>
          </w:p>
        </w:tc>
        <w:tc>
          <w:tcPr>
            <w:tcW w:w="2466" w:type="dxa"/>
            <w:vAlign w:val="center"/>
          </w:tcPr>
          <w:p>
            <w:pPr>
              <w:pStyle w:val="14"/>
            </w:pPr>
            <w:r>
              <w:t>100百分比</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成本指标</w:t>
            </w:r>
          </w:p>
        </w:tc>
        <w:tc>
          <w:tcPr>
            <w:tcW w:w="2466" w:type="dxa"/>
            <w:vAlign w:val="center"/>
          </w:tcPr>
          <w:p>
            <w:pPr>
              <w:pStyle w:val="14"/>
            </w:pPr>
            <w:r>
              <w:t>资金使用额度</w:t>
            </w:r>
          </w:p>
        </w:tc>
        <w:tc>
          <w:tcPr>
            <w:tcW w:w="2466" w:type="dxa"/>
            <w:vAlign w:val="center"/>
          </w:tcPr>
          <w:p>
            <w:pPr>
              <w:pStyle w:val="14"/>
            </w:pPr>
            <w:r>
              <w:t>资金使用额度</w:t>
            </w:r>
          </w:p>
        </w:tc>
        <w:tc>
          <w:tcPr>
            <w:tcW w:w="2466" w:type="dxa"/>
            <w:vAlign w:val="center"/>
          </w:tcPr>
          <w:p>
            <w:pPr>
              <w:pStyle w:val="14"/>
            </w:pPr>
            <w:r>
              <w:t>≤12万元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质量指标</w:t>
            </w:r>
          </w:p>
        </w:tc>
        <w:tc>
          <w:tcPr>
            <w:tcW w:w="2466" w:type="dxa"/>
            <w:vAlign w:val="center"/>
          </w:tcPr>
          <w:p>
            <w:pPr>
              <w:pStyle w:val="14"/>
            </w:pPr>
            <w:r>
              <w:t>举办文化活动较上年增长率</w:t>
            </w:r>
          </w:p>
        </w:tc>
        <w:tc>
          <w:tcPr>
            <w:tcW w:w="2466" w:type="dxa"/>
            <w:vAlign w:val="center"/>
          </w:tcPr>
          <w:p>
            <w:pPr>
              <w:pStyle w:val="14"/>
            </w:pPr>
            <w:r>
              <w:t>举办文化活动较上年增长率</w:t>
            </w:r>
          </w:p>
        </w:tc>
        <w:tc>
          <w:tcPr>
            <w:tcW w:w="2466" w:type="dxa"/>
            <w:vAlign w:val="center"/>
          </w:tcPr>
          <w:p>
            <w:pPr>
              <w:pStyle w:val="14"/>
            </w:pPr>
            <w:r>
              <w:t>≥5百分比</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工作完成情况</w:t>
            </w:r>
          </w:p>
        </w:tc>
        <w:tc>
          <w:tcPr>
            <w:tcW w:w="2466" w:type="dxa"/>
            <w:vAlign w:val="center"/>
          </w:tcPr>
          <w:p>
            <w:pPr>
              <w:pStyle w:val="14"/>
            </w:pPr>
            <w:r>
              <w:t>≥90百分比</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带动其他相关行业经济增长</w:t>
            </w:r>
          </w:p>
        </w:tc>
        <w:tc>
          <w:tcPr>
            <w:tcW w:w="2466" w:type="dxa"/>
            <w:vAlign w:val="center"/>
          </w:tcPr>
          <w:p>
            <w:pPr>
              <w:pStyle w:val="14"/>
            </w:pPr>
            <w:r>
              <w:t>带动其他相关行业经济增长</w:t>
            </w:r>
          </w:p>
        </w:tc>
        <w:tc>
          <w:tcPr>
            <w:tcW w:w="2466" w:type="dxa"/>
            <w:vAlign w:val="center"/>
          </w:tcPr>
          <w:p>
            <w:pPr>
              <w:pStyle w:val="14"/>
            </w:pPr>
            <w:r>
              <w:t>长期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社会效益指标</w:t>
            </w:r>
          </w:p>
        </w:tc>
        <w:tc>
          <w:tcPr>
            <w:tcW w:w="2466" w:type="dxa"/>
            <w:vAlign w:val="center"/>
          </w:tcPr>
          <w:p>
            <w:pPr>
              <w:pStyle w:val="14"/>
            </w:pPr>
            <w:r>
              <w:t>免费开放服务水平稳步提升</w:t>
            </w:r>
          </w:p>
        </w:tc>
        <w:tc>
          <w:tcPr>
            <w:tcW w:w="2466" w:type="dxa"/>
            <w:vAlign w:val="center"/>
          </w:tcPr>
          <w:p>
            <w:pPr>
              <w:pStyle w:val="14"/>
            </w:pPr>
            <w:r>
              <w:t>免费开放服务水平稳步提升</w:t>
            </w:r>
          </w:p>
        </w:tc>
        <w:tc>
          <w:tcPr>
            <w:tcW w:w="2466" w:type="dxa"/>
            <w:vAlign w:val="center"/>
          </w:tcPr>
          <w:p>
            <w:pPr>
              <w:pStyle w:val="14"/>
            </w:pPr>
            <w:r>
              <w:t>长期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受益群众对免费开放场馆的满意度</w:t>
            </w:r>
          </w:p>
        </w:tc>
        <w:tc>
          <w:tcPr>
            <w:tcW w:w="2466" w:type="dxa"/>
            <w:vAlign w:val="center"/>
          </w:tcPr>
          <w:p>
            <w:pPr>
              <w:pStyle w:val="14"/>
            </w:pPr>
            <w:r>
              <w:t>受益群众对免费场馆的服务满意度</w:t>
            </w:r>
          </w:p>
        </w:tc>
        <w:tc>
          <w:tcPr>
            <w:tcW w:w="2466" w:type="dxa"/>
            <w:vAlign w:val="center"/>
          </w:tcPr>
          <w:p>
            <w:pPr>
              <w:pStyle w:val="14"/>
            </w:pPr>
            <w:r>
              <w:t>≥85百分比</w:t>
            </w:r>
          </w:p>
        </w:tc>
        <w:tc>
          <w:tcPr>
            <w:tcW w:w="246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2、2022年省级非物质文化遗产保护专项资金绩效目标表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1.省级传承人传承活动补助，推动传承保护。</w:t>
            </w:r>
            <w:r>
              <w:tab/>
            </w:r>
            <w:r>
              <w:tab/>
            </w:r>
            <w:r>
              <w:tab/>
            </w:r>
            <w:r>
              <w:tab/>
            </w:r>
            <w:r>
              <w:tab/>
            </w:r>
            <w:r>
              <w:tab/>
            </w:r>
          </w:p>
          <w:p>
            <w:pPr>
              <w:pStyle w:val="14"/>
            </w:pPr>
          </w:p>
          <w:p>
            <w:pPr>
              <w:pStyle w:val="14"/>
            </w:pPr>
            <w:r>
              <w:t>2. 推动传承保护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补助省级代表性传承人传习活动人数</w:t>
            </w:r>
          </w:p>
        </w:tc>
        <w:tc>
          <w:tcPr>
            <w:tcW w:w="2466" w:type="dxa"/>
            <w:vAlign w:val="center"/>
          </w:tcPr>
          <w:p>
            <w:pPr>
              <w:pStyle w:val="14"/>
            </w:pPr>
            <w:r>
              <w:t>补助省级代表性传承人传习活动人数</w:t>
            </w:r>
          </w:p>
        </w:tc>
        <w:tc>
          <w:tcPr>
            <w:tcW w:w="2466" w:type="dxa"/>
            <w:vAlign w:val="center"/>
          </w:tcPr>
          <w:p>
            <w:pPr>
              <w:pStyle w:val="14"/>
            </w:pPr>
            <w:r>
              <w:t>1人</w:t>
            </w:r>
          </w:p>
        </w:tc>
        <w:tc>
          <w:tcPr>
            <w:tcW w:w="2466" w:type="dxa"/>
            <w:vAlign w:val="center"/>
          </w:tcPr>
          <w:p>
            <w:pPr>
              <w:pStyle w:val="14"/>
            </w:pPr>
            <w:r>
              <w:t>石财教【2021】102号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质量指标</w:t>
            </w:r>
          </w:p>
        </w:tc>
        <w:tc>
          <w:tcPr>
            <w:tcW w:w="2466" w:type="dxa"/>
            <w:vAlign w:val="center"/>
          </w:tcPr>
          <w:p>
            <w:pPr>
              <w:pStyle w:val="14"/>
            </w:pPr>
            <w:r>
              <w:t>补助发放到位率</w:t>
            </w:r>
          </w:p>
        </w:tc>
        <w:tc>
          <w:tcPr>
            <w:tcW w:w="2466" w:type="dxa"/>
            <w:vAlign w:val="center"/>
          </w:tcPr>
          <w:p>
            <w:pPr>
              <w:pStyle w:val="14"/>
            </w:pPr>
            <w:r>
              <w:t>补助发放到位率</w:t>
            </w:r>
          </w:p>
        </w:tc>
        <w:tc>
          <w:tcPr>
            <w:tcW w:w="2466" w:type="dxa"/>
            <w:vAlign w:val="center"/>
          </w:tcPr>
          <w:p>
            <w:pPr>
              <w:pStyle w:val="14"/>
            </w:pPr>
            <w:r>
              <w:t>100百分比</w:t>
            </w:r>
          </w:p>
        </w:tc>
        <w:tc>
          <w:tcPr>
            <w:tcW w:w="2466" w:type="dxa"/>
            <w:vAlign w:val="center"/>
          </w:tcPr>
          <w:p>
            <w:pPr>
              <w:pStyle w:val="14"/>
            </w:pPr>
            <w:r>
              <w:t>石财教【2021】102号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补助发放完成率</w:t>
            </w:r>
          </w:p>
        </w:tc>
        <w:tc>
          <w:tcPr>
            <w:tcW w:w="2466" w:type="dxa"/>
            <w:vAlign w:val="center"/>
          </w:tcPr>
          <w:p>
            <w:pPr>
              <w:pStyle w:val="14"/>
            </w:pPr>
            <w:r>
              <w:t>100百分比</w:t>
            </w:r>
          </w:p>
        </w:tc>
        <w:tc>
          <w:tcPr>
            <w:tcW w:w="2466" w:type="dxa"/>
            <w:vAlign w:val="center"/>
          </w:tcPr>
          <w:p>
            <w:pPr>
              <w:pStyle w:val="14"/>
            </w:pPr>
            <w:r>
              <w:t>石财教【2021】102号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成本指标</w:t>
            </w:r>
          </w:p>
        </w:tc>
        <w:tc>
          <w:tcPr>
            <w:tcW w:w="2466" w:type="dxa"/>
            <w:vAlign w:val="center"/>
          </w:tcPr>
          <w:p>
            <w:pPr>
              <w:pStyle w:val="14"/>
            </w:pPr>
            <w:r>
              <w:t>足额发放</w:t>
            </w:r>
          </w:p>
        </w:tc>
        <w:tc>
          <w:tcPr>
            <w:tcW w:w="2466" w:type="dxa"/>
            <w:vAlign w:val="center"/>
          </w:tcPr>
          <w:p>
            <w:pPr>
              <w:pStyle w:val="14"/>
            </w:pPr>
            <w:r>
              <w:t>足额发放</w:t>
            </w:r>
          </w:p>
        </w:tc>
        <w:tc>
          <w:tcPr>
            <w:tcW w:w="2466" w:type="dxa"/>
            <w:vAlign w:val="center"/>
          </w:tcPr>
          <w:p>
            <w:pPr>
              <w:pStyle w:val="14"/>
            </w:pPr>
            <w:r>
              <w:t>0.6万元</w:t>
            </w:r>
          </w:p>
        </w:tc>
        <w:tc>
          <w:tcPr>
            <w:tcW w:w="2466" w:type="dxa"/>
            <w:vAlign w:val="center"/>
          </w:tcPr>
          <w:p>
            <w:pPr>
              <w:pStyle w:val="14"/>
            </w:pPr>
            <w:r>
              <w:t>石财教【2021】102号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促进传承活动的发展</w:t>
            </w:r>
          </w:p>
        </w:tc>
        <w:tc>
          <w:tcPr>
            <w:tcW w:w="2466" w:type="dxa"/>
            <w:vAlign w:val="center"/>
          </w:tcPr>
          <w:p>
            <w:pPr>
              <w:pStyle w:val="14"/>
            </w:pPr>
            <w:r>
              <w:t>促进传承活动的发展</w:t>
            </w:r>
          </w:p>
        </w:tc>
        <w:tc>
          <w:tcPr>
            <w:tcW w:w="2466" w:type="dxa"/>
            <w:vAlign w:val="center"/>
          </w:tcPr>
          <w:p>
            <w:pPr>
              <w:pStyle w:val="14"/>
            </w:pPr>
            <w:r>
              <w:t>长期</w:t>
            </w:r>
          </w:p>
        </w:tc>
        <w:tc>
          <w:tcPr>
            <w:tcW w:w="2466" w:type="dxa"/>
            <w:vAlign w:val="center"/>
          </w:tcPr>
          <w:p>
            <w:pPr>
              <w:pStyle w:val="14"/>
            </w:pPr>
            <w:r>
              <w:t>石财教【2021】102号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社会效益指标</w:t>
            </w:r>
          </w:p>
        </w:tc>
        <w:tc>
          <w:tcPr>
            <w:tcW w:w="2466" w:type="dxa"/>
            <w:vAlign w:val="center"/>
          </w:tcPr>
          <w:p>
            <w:pPr>
              <w:pStyle w:val="14"/>
            </w:pPr>
            <w:r>
              <w:t>社会参与非遗保护与传承渠道</w:t>
            </w:r>
          </w:p>
        </w:tc>
        <w:tc>
          <w:tcPr>
            <w:tcW w:w="2466" w:type="dxa"/>
            <w:vAlign w:val="center"/>
          </w:tcPr>
          <w:p>
            <w:pPr>
              <w:pStyle w:val="14"/>
            </w:pPr>
            <w:r>
              <w:t>社会参与非遗保护与传承渠道</w:t>
            </w:r>
          </w:p>
        </w:tc>
        <w:tc>
          <w:tcPr>
            <w:tcW w:w="2466" w:type="dxa"/>
            <w:vAlign w:val="center"/>
          </w:tcPr>
          <w:p>
            <w:pPr>
              <w:pStyle w:val="14"/>
            </w:pPr>
            <w:r>
              <w:t>逐步增加</w:t>
            </w:r>
          </w:p>
        </w:tc>
        <w:tc>
          <w:tcPr>
            <w:tcW w:w="2466" w:type="dxa"/>
            <w:vAlign w:val="center"/>
          </w:tcPr>
          <w:p>
            <w:pPr>
              <w:pStyle w:val="14"/>
            </w:pPr>
            <w:r>
              <w:t>石财教【2021】102号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社会公众对非遗保护满意度</w:t>
            </w:r>
          </w:p>
        </w:tc>
        <w:tc>
          <w:tcPr>
            <w:tcW w:w="2466" w:type="dxa"/>
            <w:vAlign w:val="center"/>
          </w:tcPr>
          <w:p>
            <w:pPr>
              <w:pStyle w:val="14"/>
            </w:pPr>
            <w:r>
              <w:t>社会公众对非遗保护满意度</w:t>
            </w:r>
          </w:p>
        </w:tc>
        <w:tc>
          <w:tcPr>
            <w:tcW w:w="2466" w:type="dxa"/>
            <w:vAlign w:val="center"/>
          </w:tcPr>
          <w:p>
            <w:pPr>
              <w:pStyle w:val="14"/>
            </w:pPr>
            <w:r>
              <w:t>≥85百分比</w:t>
            </w:r>
          </w:p>
        </w:tc>
        <w:tc>
          <w:tcPr>
            <w:tcW w:w="2466" w:type="dxa"/>
            <w:vAlign w:val="center"/>
          </w:tcPr>
          <w:p>
            <w:pPr>
              <w:pStyle w:val="14"/>
            </w:pPr>
            <w:r>
              <w:t>石财教【2021】102号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3、2022年省级体育彩票公益金专项资金绩效目标表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1.扶持体育事业</w:t>
            </w:r>
          </w:p>
          <w:p>
            <w:pPr>
              <w:pStyle w:val="14"/>
            </w:pPr>
            <w:r>
              <w:t>2.带动辖区群众健身意识</w:t>
            </w:r>
          </w:p>
          <w:p>
            <w:pPr>
              <w:pStyle w:val="14"/>
            </w:pPr>
            <w:r>
              <w:t>3.举办体育活动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举办活动数量</w:t>
            </w:r>
          </w:p>
        </w:tc>
        <w:tc>
          <w:tcPr>
            <w:tcW w:w="2466" w:type="dxa"/>
            <w:vAlign w:val="center"/>
          </w:tcPr>
          <w:p>
            <w:pPr>
              <w:pStyle w:val="14"/>
            </w:pPr>
            <w:r>
              <w:t>举办活动数量</w:t>
            </w:r>
          </w:p>
        </w:tc>
        <w:tc>
          <w:tcPr>
            <w:tcW w:w="2466" w:type="dxa"/>
            <w:vAlign w:val="center"/>
          </w:tcPr>
          <w:p>
            <w:pPr>
              <w:pStyle w:val="14"/>
            </w:pPr>
            <w:r>
              <w:t>≥1场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质量指标</w:t>
            </w:r>
          </w:p>
        </w:tc>
        <w:tc>
          <w:tcPr>
            <w:tcW w:w="2466" w:type="dxa"/>
            <w:vAlign w:val="center"/>
          </w:tcPr>
          <w:p>
            <w:pPr>
              <w:pStyle w:val="14"/>
            </w:pPr>
            <w:r>
              <w:t>赛事活动发生安全事故</w:t>
            </w:r>
          </w:p>
        </w:tc>
        <w:tc>
          <w:tcPr>
            <w:tcW w:w="2466" w:type="dxa"/>
            <w:vAlign w:val="center"/>
          </w:tcPr>
          <w:p>
            <w:pPr>
              <w:pStyle w:val="14"/>
            </w:pPr>
            <w:r>
              <w:t>赛事活动发生安全事故</w:t>
            </w:r>
          </w:p>
        </w:tc>
        <w:tc>
          <w:tcPr>
            <w:tcW w:w="2466" w:type="dxa"/>
            <w:vAlign w:val="center"/>
          </w:tcPr>
          <w:p>
            <w:pPr>
              <w:pStyle w:val="14"/>
            </w:pPr>
            <w:r>
              <w:t>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时效指标</w:t>
            </w:r>
          </w:p>
        </w:tc>
        <w:tc>
          <w:tcPr>
            <w:tcW w:w="2466" w:type="dxa"/>
            <w:vAlign w:val="center"/>
          </w:tcPr>
          <w:p>
            <w:pPr>
              <w:pStyle w:val="14"/>
            </w:pPr>
            <w:r>
              <w:t>按时完成上级各项任务</w:t>
            </w:r>
          </w:p>
        </w:tc>
        <w:tc>
          <w:tcPr>
            <w:tcW w:w="2466" w:type="dxa"/>
            <w:vAlign w:val="center"/>
          </w:tcPr>
          <w:p>
            <w:pPr>
              <w:pStyle w:val="14"/>
            </w:pPr>
            <w:r>
              <w:t>按时完成上级各项任务</w:t>
            </w:r>
          </w:p>
        </w:tc>
        <w:tc>
          <w:tcPr>
            <w:tcW w:w="2466" w:type="dxa"/>
            <w:vAlign w:val="center"/>
          </w:tcPr>
          <w:p>
            <w:pPr>
              <w:pStyle w:val="14"/>
            </w:pPr>
            <w:r>
              <w:t>2022年12月底之前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成本指标</w:t>
            </w:r>
          </w:p>
        </w:tc>
        <w:tc>
          <w:tcPr>
            <w:tcW w:w="2466" w:type="dxa"/>
            <w:vAlign w:val="center"/>
          </w:tcPr>
          <w:p>
            <w:pPr>
              <w:pStyle w:val="14"/>
            </w:pPr>
            <w:r>
              <w:t>不超过资金补助额</w:t>
            </w:r>
          </w:p>
        </w:tc>
        <w:tc>
          <w:tcPr>
            <w:tcW w:w="2466" w:type="dxa"/>
            <w:vAlign w:val="center"/>
          </w:tcPr>
          <w:p>
            <w:pPr>
              <w:pStyle w:val="14"/>
            </w:pPr>
            <w:r>
              <w:t>不超过资金补助额</w:t>
            </w:r>
          </w:p>
        </w:tc>
        <w:tc>
          <w:tcPr>
            <w:tcW w:w="2466" w:type="dxa"/>
            <w:vAlign w:val="center"/>
          </w:tcPr>
          <w:p>
            <w:pPr>
              <w:pStyle w:val="14"/>
            </w:pPr>
            <w:r>
              <w:t>≤1.61万元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对群众性冰雪运动发展普及程度</w:t>
            </w:r>
          </w:p>
        </w:tc>
        <w:tc>
          <w:tcPr>
            <w:tcW w:w="2466" w:type="dxa"/>
            <w:vAlign w:val="center"/>
          </w:tcPr>
          <w:p>
            <w:pPr>
              <w:pStyle w:val="14"/>
            </w:pPr>
            <w:r>
              <w:t>对群众性冰雪运动发展普及程度</w:t>
            </w:r>
          </w:p>
        </w:tc>
        <w:tc>
          <w:tcPr>
            <w:tcW w:w="2466" w:type="dxa"/>
            <w:vAlign w:val="center"/>
          </w:tcPr>
          <w:p>
            <w:pPr>
              <w:pStyle w:val="14"/>
            </w:pPr>
            <w:r>
              <w:t>≥500人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经济效益指标</w:t>
            </w:r>
          </w:p>
        </w:tc>
        <w:tc>
          <w:tcPr>
            <w:tcW w:w="2466" w:type="dxa"/>
            <w:vAlign w:val="center"/>
          </w:tcPr>
          <w:p>
            <w:pPr>
              <w:pStyle w:val="14"/>
            </w:pPr>
            <w:r>
              <w:t>带动体育事业的发展</w:t>
            </w:r>
          </w:p>
        </w:tc>
        <w:tc>
          <w:tcPr>
            <w:tcW w:w="2466" w:type="dxa"/>
            <w:vAlign w:val="center"/>
          </w:tcPr>
          <w:p>
            <w:pPr>
              <w:pStyle w:val="14"/>
            </w:pPr>
            <w:r>
              <w:t>带动体育事业的发展</w:t>
            </w:r>
          </w:p>
        </w:tc>
        <w:tc>
          <w:tcPr>
            <w:tcW w:w="2466" w:type="dxa"/>
            <w:vAlign w:val="center"/>
          </w:tcPr>
          <w:p>
            <w:pPr>
              <w:pStyle w:val="14"/>
            </w:pPr>
            <w:r>
              <w:t>长期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参与活动群众满意程度</w:t>
            </w:r>
          </w:p>
        </w:tc>
        <w:tc>
          <w:tcPr>
            <w:tcW w:w="2466" w:type="dxa"/>
            <w:vAlign w:val="center"/>
          </w:tcPr>
          <w:p>
            <w:pPr>
              <w:pStyle w:val="14"/>
            </w:pPr>
            <w:r>
              <w:t>参与活动群众满意程度</w:t>
            </w:r>
          </w:p>
        </w:tc>
        <w:tc>
          <w:tcPr>
            <w:tcW w:w="2466" w:type="dxa"/>
            <w:vAlign w:val="center"/>
          </w:tcPr>
          <w:p>
            <w:pPr>
              <w:pStyle w:val="14"/>
            </w:pPr>
            <w:r>
              <w:t>≥85百分比</w:t>
            </w:r>
          </w:p>
        </w:tc>
        <w:tc>
          <w:tcPr>
            <w:tcW w:w="246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4、二十八届“彩色周末”文化活动经费绩效目标表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1.组织开展彩色周末活动</w:t>
            </w:r>
          </w:p>
          <w:p>
            <w:pPr>
              <w:pStyle w:val="14"/>
            </w:pPr>
            <w:r>
              <w:t>2.完成上级下达的任务</w:t>
            </w:r>
          </w:p>
          <w:p>
            <w:pPr>
              <w:pStyle w:val="14"/>
            </w:pPr>
            <w:r>
              <w:t>3.丰富辖区群众的精神文化生活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开展外宣活动数量</w:t>
            </w:r>
          </w:p>
        </w:tc>
        <w:tc>
          <w:tcPr>
            <w:tcW w:w="2466" w:type="dxa"/>
            <w:vAlign w:val="center"/>
          </w:tcPr>
          <w:p>
            <w:pPr>
              <w:pStyle w:val="14"/>
            </w:pPr>
            <w:r>
              <w:t>开展外宣活动数量</w:t>
            </w:r>
          </w:p>
        </w:tc>
        <w:tc>
          <w:tcPr>
            <w:tcW w:w="2466" w:type="dxa"/>
            <w:vAlign w:val="center"/>
          </w:tcPr>
          <w:p>
            <w:pPr>
              <w:pStyle w:val="14"/>
            </w:pPr>
            <w:r>
              <w:t>≥5场</w:t>
            </w:r>
          </w:p>
        </w:tc>
        <w:tc>
          <w:tcPr>
            <w:tcW w:w="2466" w:type="dxa"/>
            <w:vAlign w:val="center"/>
          </w:tcPr>
          <w:p>
            <w:pPr>
              <w:pStyle w:val="14"/>
            </w:pPr>
            <w:r>
              <w:t>石宣字【2021】1号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质量指标</w:t>
            </w:r>
          </w:p>
        </w:tc>
        <w:tc>
          <w:tcPr>
            <w:tcW w:w="2466" w:type="dxa"/>
            <w:vAlign w:val="center"/>
          </w:tcPr>
          <w:p>
            <w:pPr>
              <w:pStyle w:val="14"/>
            </w:pPr>
            <w:r>
              <w:t>群众文化活动参与率</w:t>
            </w:r>
          </w:p>
        </w:tc>
        <w:tc>
          <w:tcPr>
            <w:tcW w:w="2466" w:type="dxa"/>
            <w:vAlign w:val="center"/>
          </w:tcPr>
          <w:p>
            <w:pPr>
              <w:pStyle w:val="14"/>
            </w:pPr>
            <w:r>
              <w:t>群众文化活动参与率</w:t>
            </w:r>
          </w:p>
        </w:tc>
        <w:tc>
          <w:tcPr>
            <w:tcW w:w="2466" w:type="dxa"/>
            <w:vAlign w:val="center"/>
          </w:tcPr>
          <w:p>
            <w:pPr>
              <w:pStyle w:val="14"/>
            </w:pPr>
            <w:r>
              <w:t>≥300人次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时效指标</w:t>
            </w:r>
          </w:p>
        </w:tc>
        <w:tc>
          <w:tcPr>
            <w:tcW w:w="2466" w:type="dxa"/>
            <w:vAlign w:val="center"/>
          </w:tcPr>
          <w:p>
            <w:pPr>
              <w:pStyle w:val="14"/>
            </w:pPr>
            <w:r>
              <w:t>资金到位情况</w:t>
            </w:r>
          </w:p>
        </w:tc>
        <w:tc>
          <w:tcPr>
            <w:tcW w:w="2466" w:type="dxa"/>
            <w:vAlign w:val="center"/>
          </w:tcPr>
          <w:p>
            <w:pPr>
              <w:pStyle w:val="14"/>
            </w:pPr>
            <w:r>
              <w:t>资金到位情况</w:t>
            </w:r>
          </w:p>
        </w:tc>
        <w:tc>
          <w:tcPr>
            <w:tcW w:w="2466" w:type="dxa"/>
            <w:vAlign w:val="center"/>
          </w:tcPr>
          <w:p>
            <w:pPr>
              <w:pStyle w:val="14"/>
            </w:pPr>
            <w:r>
              <w:t>≥90百分比</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成本指标</w:t>
            </w:r>
          </w:p>
        </w:tc>
        <w:tc>
          <w:tcPr>
            <w:tcW w:w="2466" w:type="dxa"/>
            <w:vAlign w:val="center"/>
          </w:tcPr>
          <w:p>
            <w:pPr>
              <w:pStyle w:val="14"/>
            </w:pPr>
            <w:r>
              <w:t>不超过资金补助金额</w:t>
            </w:r>
          </w:p>
        </w:tc>
        <w:tc>
          <w:tcPr>
            <w:tcW w:w="2466" w:type="dxa"/>
            <w:vAlign w:val="center"/>
          </w:tcPr>
          <w:p>
            <w:pPr>
              <w:pStyle w:val="14"/>
            </w:pPr>
            <w:r>
              <w:t>不超过资金补助金额</w:t>
            </w:r>
          </w:p>
        </w:tc>
        <w:tc>
          <w:tcPr>
            <w:tcW w:w="2466" w:type="dxa"/>
            <w:vAlign w:val="center"/>
          </w:tcPr>
          <w:p>
            <w:pPr>
              <w:pStyle w:val="14"/>
            </w:pPr>
            <w:r>
              <w:t>≤5万元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带动相关项目经济增长</w:t>
            </w:r>
          </w:p>
        </w:tc>
        <w:tc>
          <w:tcPr>
            <w:tcW w:w="2466" w:type="dxa"/>
            <w:vAlign w:val="center"/>
          </w:tcPr>
          <w:p>
            <w:pPr>
              <w:pStyle w:val="14"/>
            </w:pPr>
            <w:r>
              <w:t>带动相关项目经济增长</w:t>
            </w:r>
          </w:p>
        </w:tc>
        <w:tc>
          <w:tcPr>
            <w:tcW w:w="2466" w:type="dxa"/>
            <w:vAlign w:val="center"/>
          </w:tcPr>
          <w:p>
            <w:pPr>
              <w:pStyle w:val="14"/>
            </w:pPr>
            <w:r>
              <w:t>长期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社会效益指标</w:t>
            </w:r>
          </w:p>
        </w:tc>
        <w:tc>
          <w:tcPr>
            <w:tcW w:w="2466" w:type="dxa"/>
            <w:vAlign w:val="center"/>
          </w:tcPr>
          <w:p>
            <w:pPr>
              <w:pStyle w:val="14"/>
            </w:pPr>
            <w:r>
              <w:t>免费开放服务水平稳步提升</w:t>
            </w:r>
          </w:p>
        </w:tc>
        <w:tc>
          <w:tcPr>
            <w:tcW w:w="2466" w:type="dxa"/>
            <w:vAlign w:val="center"/>
          </w:tcPr>
          <w:p>
            <w:pPr>
              <w:pStyle w:val="14"/>
            </w:pPr>
            <w:r>
              <w:t>免费开放服务水平稳步提升</w:t>
            </w:r>
          </w:p>
        </w:tc>
        <w:tc>
          <w:tcPr>
            <w:tcW w:w="2466" w:type="dxa"/>
            <w:vAlign w:val="center"/>
          </w:tcPr>
          <w:p>
            <w:pPr>
              <w:pStyle w:val="14"/>
            </w:pPr>
            <w:r>
              <w:t>长期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≥85百分比</w:t>
            </w:r>
          </w:p>
        </w:tc>
        <w:tc>
          <w:tcPr>
            <w:tcW w:w="246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5、文体中心运行经费绩效目标表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1.文体中心管理工作</w:t>
            </w:r>
          </w:p>
          <w:p>
            <w:pPr>
              <w:pStyle w:val="14"/>
            </w:pPr>
            <w:r>
              <w:t>2.满足辖区群众文体活动需求</w:t>
            </w:r>
          </w:p>
          <w:p>
            <w:pPr>
              <w:pStyle w:val="14"/>
            </w:pPr>
            <w:r>
              <w:t>3.确保文体中心阵地作用得到充分发挥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公共文化服务活动数量</w:t>
            </w:r>
          </w:p>
        </w:tc>
        <w:tc>
          <w:tcPr>
            <w:tcW w:w="2466" w:type="dxa"/>
            <w:vAlign w:val="center"/>
          </w:tcPr>
          <w:p>
            <w:pPr>
              <w:pStyle w:val="14"/>
            </w:pPr>
            <w:r>
              <w:t>各类公共文化服务活动组织开展数量</w:t>
            </w:r>
          </w:p>
        </w:tc>
        <w:tc>
          <w:tcPr>
            <w:tcW w:w="2466" w:type="dxa"/>
            <w:vAlign w:val="center"/>
          </w:tcPr>
          <w:p>
            <w:pPr>
              <w:pStyle w:val="14"/>
            </w:pPr>
            <w:r>
              <w:t>≥12场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质量指标</w:t>
            </w:r>
          </w:p>
        </w:tc>
        <w:tc>
          <w:tcPr>
            <w:tcW w:w="2466" w:type="dxa"/>
            <w:vAlign w:val="center"/>
          </w:tcPr>
          <w:p>
            <w:pPr>
              <w:pStyle w:val="14"/>
            </w:pPr>
            <w:r>
              <w:t>举办文化活动较上年增长率</w:t>
            </w:r>
          </w:p>
        </w:tc>
        <w:tc>
          <w:tcPr>
            <w:tcW w:w="2466" w:type="dxa"/>
            <w:vAlign w:val="center"/>
          </w:tcPr>
          <w:p>
            <w:pPr>
              <w:pStyle w:val="14"/>
            </w:pPr>
            <w:r>
              <w:t>举办文化活动较上年增长率</w:t>
            </w:r>
          </w:p>
        </w:tc>
        <w:tc>
          <w:tcPr>
            <w:tcW w:w="2466" w:type="dxa"/>
            <w:vAlign w:val="center"/>
          </w:tcPr>
          <w:p>
            <w:pPr>
              <w:pStyle w:val="14"/>
            </w:pPr>
            <w:r>
              <w:t>≥5百分比</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时效指标</w:t>
            </w:r>
          </w:p>
        </w:tc>
        <w:tc>
          <w:tcPr>
            <w:tcW w:w="2466" w:type="dxa"/>
            <w:vAlign w:val="center"/>
          </w:tcPr>
          <w:p>
            <w:pPr>
              <w:pStyle w:val="14"/>
            </w:pPr>
            <w:r>
              <w:t>工作完成率</w:t>
            </w:r>
          </w:p>
        </w:tc>
        <w:tc>
          <w:tcPr>
            <w:tcW w:w="2466" w:type="dxa"/>
            <w:vAlign w:val="center"/>
          </w:tcPr>
          <w:p>
            <w:pPr>
              <w:pStyle w:val="14"/>
            </w:pPr>
            <w:r>
              <w:t>工作完成情况</w:t>
            </w:r>
          </w:p>
        </w:tc>
        <w:tc>
          <w:tcPr>
            <w:tcW w:w="2466" w:type="dxa"/>
            <w:vAlign w:val="center"/>
          </w:tcPr>
          <w:p>
            <w:pPr>
              <w:pStyle w:val="14"/>
            </w:pPr>
            <w:r>
              <w:t>≥90百分比</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成本指标</w:t>
            </w:r>
          </w:p>
        </w:tc>
        <w:tc>
          <w:tcPr>
            <w:tcW w:w="2466" w:type="dxa"/>
            <w:vAlign w:val="center"/>
          </w:tcPr>
          <w:p>
            <w:pPr>
              <w:pStyle w:val="14"/>
            </w:pPr>
            <w:r>
              <w:t>资金使用额度</w:t>
            </w:r>
          </w:p>
        </w:tc>
        <w:tc>
          <w:tcPr>
            <w:tcW w:w="2466" w:type="dxa"/>
            <w:vAlign w:val="center"/>
          </w:tcPr>
          <w:p>
            <w:pPr>
              <w:pStyle w:val="14"/>
            </w:pPr>
            <w:r>
              <w:t>资金使用额度</w:t>
            </w:r>
          </w:p>
        </w:tc>
        <w:tc>
          <w:tcPr>
            <w:tcW w:w="2466" w:type="dxa"/>
            <w:vAlign w:val="center"/>
          </w:tcPr>
          <w:p>
            <w:pPr>
              <w:pStyle w:val="14"/>
            </w:pPr>
            <w:r>
              <w:t>≥5万元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带动相关行业经济增长</w:t>
            </w:r>
          </w:p>
        </w:tc>
        <w:tc>
          <w:tcPr>
            <w:tcW w:w="2466" w:type="dxa"/>
            <w:vAlign w:val="center"/>
          </w:tcPr>
          <w:p>
            <w:pPr>
              <w:pStyle w:val="14"/>
            </w:pPr>
            <w:r>
              <w:t>带动相关行业经济增长</w:t>
            </w:r>
          </w:p>
        </w:tc>
        <w:tc>
          <w:tcPr>
            <w:tcW w:w="2466" w:type="dxa"/>
            <w:vAlign w:val="center"/>
          </w:tcPr>
          <w:p>
            <w:pPr>
              <w:pStyle w:val="14"/>
            </w:pPr>
            <w:r>
              <w:t>长期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可持续影响指标</w:t>
            </w:r>
          </w:p>
        </w:tc>
        <w:tc>
          <w:tcPr>
            <w:tcW w:w="2466" w:type="dxa"/>
            <w:vAlign w:val="center"/>
          </w:tcPr>
          <w:p>
            <w:pPr>
              <w:pStyle w:val="14"/>
            </w:pPr>
            <w:r>
              <w:t>公共文化设施人均藏书量</w:t>
            </w:r>
          </w:p>
        </w:tc>
        <w:tc>
          <w:tcPr>
            <w:tcW w:w="2466" w:type="dxa"/>
            <w:vAlign w:val="center"/>
          </w:tcPr>
          <w:p>
            <w:pPr>
              <w:pStyle w:val="14"/>
            </w:pPr>
            <w:r>
              <w:t>辖区人均拥有藏书量</w:t>
            </w:r>
          </w:p>
        </w:tc>
        <w:tc>
          <w:tcPr>
            <w:tcW w:w="2466" w:type="dxa"/>
            <w:vAlign w:val="center"/>
          </w:tcPr>
          <w:p>
            <w:pPr>
              <w:pStyle w:val="14"/>
            </w:pPr>
            <w:r>
              <w:t>逐年提高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4"/>
            </w:pPr>
            <w:r>
              <w:t>社会效益指标</w:t>
            </w:r>
          </w:p>
        </w:tc>
        <w:tc>
          <w:tcPr>
            <w:tcW w:w="2466" w:type="dxa"/>
            <w:vAlign w:val="center"/>
          </w:tcPr>
          <w:p>
            <w:pPr>
              <w:pStyle w:val="14"/>
            </w:pPr>
            <w:r>
              <w:t>免费开放服务水平稳步提升</w:t>
            </w:r>
          </w:p>
        </w:tc>
        <w:tc>
          <w:tcPr>
            <w:tcW w:w="2466" w:type="dxa"/>
            <w:vAlign w:val="center"/>
          </w:tcPr>
          <w:p>
            <w:pPr>
              <w:pStyle w:val="14"/>
            </w:pPr>
            <w:r>
              <w:t>免费开放服务水平稳步提升</w:t>
            </w:r>
          </w:p>
        </w:tc>
        <w:tc>
          <w:tcPr>
            <w:tcW w:w="2466" w:type="dxa"/>
            <w:vAlign w:val="center"/>
          </w:tcPr>
          <w:p>
            <w:pPr>
              <w:pStyle w:val="14"/>
            </w:pPr>
            <w:r>
              <w:t>长期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基本公共文化服务水平稳步提高</w:t>
            </w:r>
          </w:p>
        </w:tc>
        <w:tc>
          <w:tcPr>
            <w:tcW w:w="2466" w:type="dxa"/>
            <w:vAlign w:val="center"/>
          </w:tcPr>
          <w:p>
            <w:pPr>
              <w:pStyle w:val="14"/>
            </w:pPr>
            <w:r>
              <w:t>基本公共文化服务水平稳步提高</w:t>
            </w:r>
          </w:p>
        </w:tc>
        <w:tc>
          <w:tcPr>
            <w:tcW w:w="2466" w:type="dxa"/>
            <w:vAlign w:val="center"/>
          </w:tcPr>
          <w:p>
            <w:pPr>
              <w:pStyle w:val="14"/>
            </w:pPr>
            <w:r>
              <w:t>长期</w:t>
            </w:r>
          </w:p>
        </w:tc>
        <w:tc>
          <w:tcPr>
            <w:tcW w:w="2466" w:type="dxa"/>
            <w:vAlign w:val="center"/>
          </w:tcPr>
          <w:p>
            <w:pPr>
              <w:pStyle w:val="14"/>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2022年，石家庄市长安区文化广电体育和旅游局安排政府采购预算</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 xml:space="preserve">空表列示。 </w:t>
      </w:r>
    </w:p>
    <w:p>
      <w:pPr>
        <w:spacing w:before="0" w:after="0"/>
        <w:ind w:firstLine="640"/>
        <w:jc w:val="left"/>
        <w:outlineLvl w:val="9"/>
        <w:rPr>
          <w:rFonts w:ascii="Times New Roman" w:hAnsi="Times New Roman" w:eastAsia="方正仿宋_GBK" w:cs="Times New Roman"/>
          <w:color w:val="000000"/>
          <w:sz w:val="32"/>
        </w:rPr>
      </w:pPr>
    </w:p>
    <w:p>
      <w:pPr>
        <w:tabs>
          <w:tab w:val="left" w:pos="4089"/>
          <w:tab w:val="center" w:pos="7039"/>
        </w:tabs>
        <w:jc w:val="left"/>
        <w:outlineLvl w:val="0"/>
        <w:rPr>
          <w:rFonts w:hint="eastAsia" w:ascii="方正小标宋_GBK" w:eastAsia="方正小标宋_GBK"/>
          <w:sz w:val="32"/>
          <w:szCs w:val="24"/>
        </w:rPr>
      </w:pPr>
      <w:r>
        <w:rPr>
          <w:rFonts w:ascii="Times New Roman" w:hAnsi="Times New Roman" w:eastAsia="方正仿宋_GBK" w:cs="Times New Roman"/>
          <w:color w:val="000000"/>
          <w:sz w:val="32"/>
        </w:rPr>
        <w:t xml:space="preserve"> </w:t>
      </w:r>
      <w:r>
        <w:rPr>
          <w:rFonts w:hint="eastAsia" w:eastAsia="方正仿宋_GBK" w:cs="Times New Roman"/>
          <w:color w:val="000000"/>
          <w:sz w:val="32"/>
          <w:lang w:val="en-US" w:eastAsia="zh-CN"/>
        </w:rPr>
        <w:t xml:space="preserve">                                                                     </w:t>
      </w:r>
      <w:r>
        <w:rPr>
          <w:rFonts w:hint="eastAsia" w:eastAsia="方正仿宋_GBK" w:cs="Times New Roman"/>
          <w:b/>
          <w:bCs/>
          <w:color w:val="000000"/>
          <w:sz w:val="32"/>
          <w:lang w:val="en-US" w:eastAsia="zh-CN"/>
        </w:rPr>
        <w:t xml:space="preserve">   </w:t>
      </w:r>
      <w:r>
        <w:rPr>
          <w:rFonts w:hint="eastAsia" w:ascii="方正小标宋_GBK" w:eastAsia="方正小标宋_GBK"/>
          <w:b/>
          <w:bCs/>
          <w:sz w:val="32"/>
          <w:szCs w:val="24"/>
        </w:rPr>
        <w:t>部门政府采购预算</w:t>
      </w:r>
    </w:p>
    <w:tbl>
      <w:tblPr>
        <w:tblStyle w:val="7"/>
        <w:tblW w:w="14174" w:type="dxa"/>
        <w:tblInd w:w="0" w:type="dxa"/>
        <w:tblLayout w:type="fixed"/>
        <w:tblCellMar>
          <w:top w:w="0" w:type="dxa"/>
          <w:left w:w="108" w:type="dxa"/>
          <w:bottom w:w="0" w:type="dxa"/>
          <w:right w:w="108" w:type="dxa"/>
        </w:tblCellMar>
      </w:tblPr>
      <w:tblGrid>
        <w:gridCol w:w="2090"/>
        <w:gridCol w:w="1287"/>
        <w:gridCol w:w="899"/>
        <w:gridCol w:w="899"/>
        <w:gridCol w:w="899"/>
        <w:gridCol w:w="899"/>
        <w:gridCol w:w="904"/>
        <w:gridCol w:w="899"/>
        <w:gridCol w:w="899"/>
        <w:gridCol w:w="899"/>
        <w:gridCol w:w="899"/>
        <w:gridCol w:w="899"/>
        <w:gridCol w:w="901"/>
        <w:gridCol w:w="901"/>
      </w:tblGrid>
      <w:tr>
        <w:tblPrEx>
          <w:tblLayout w:type="fixed"/>
          <w:tblCellMar>
            <w:top w:w="0" w:type="dxa"/>
            <w:left w:w="108" w:type="dxa"/>
            <w:bottom w:w="0" w:type="dxa"/>
            <w:right w:w="108" w:type="dxa"/>
          </w:tblCellMar>
        </w:tblPrEx>
        <w:trPr>
          <w:trHeight w:val="285" w:hRule="atLeast"/>
        </w:trPr>
        <w:tc>
          <w:tcPr>
            <w:tcW w:w="7877" w:type="dxa"/>
            <w:gridSpan w:val="7"/>
            <w:tcBorders>
              <w:top w:val="single" w:color="FFFFFF" w:sz="8" w:space="0"/>
              <w:left w:val="single" w:color="FFFFFF" w:sz="8" w:space="0"/>
              <w:bottom w:val="nil"/>
              <w:right w:val="single" w:color="FFFFFF" w:sz="8" w:space="0"/>
            </w:tcBorders>
            <w:vAlign w:val="center"/>
          </w:tcPr>
          <w:p>
            <w:pPr>
              <w:widowControl/>
              <w:jc w:val="left"/>
              <w:rPr>
                <w:rFonts w:ascii="方正小标宋_GBK" w:hAnsi="宋体" w:eastAsia="方正小标宋_GBK" w:cs="宋体"/>
                <w:color w:val="000000"/>
                <w:kern w:val="0"/>
                <w:sz w:val="24"/>
                <w:szCs w:val="24"/>
              </w:rPr>
            </w:pPr>
            <w:r>
              <w:rPr>
                <w:rFonts w:hint="eastAsia" w:ascii="方正小标宋_GBK" w:eastAsia="方正小标宋_GBK"/>
                <w:sz w:val="24"/>
                <w:lang w:val="en-US" w:eastAsia="zh-CN"/>
              </w:rPr>
              <w:t>357</w:t>
            </w:r>
            <w:r>
              <w:rPr>
                <w:rFonts w:hint="eastAsia" w:ascii="方正小标宋_GBK" w:eastAsia="方正小标宋_GBK"/>
                <w:sz w:val="24"/>
              </w:rPr>
              <w:t>石家庄市长安区</w:t>
            </w:r>
            <w:r>
              <w:rPr>
                <w:rFonts w:hint="eastAsia" w:ascii="方正小标宋_GBK" w:eastAsia="方正小标宋_GBK"/>
                <w:sz w:val="24"/>
                <w:lang w:val="en-US" w:eastAsia="zh-CN"/>
              </w:rPr>
              <w:t>文化广电体育和旅游局</w:t>
            </w:r>
            <w:r>
              <w:rPr>
                <w:rFonts w:hint="eastAsia" w:ascii="方正小标宋_GBK" w:hAnsi="宋体" w:eastAsia="方正小标宋_GBK" w:cs="宋体"/>
                <w:color w:val="FF0000"/>
                <w:kern w:val="0"/>
                <w:sz w:val="24"/>
                <w:szCs w:val="24"/>
              </w:rPr>
              <w:t xml:space="preserve"> </w:t>
            </w:r>
            <w:r>
              <w:rPr>
                <w:rFonts w:hint="eastAsia" w:ascii="方正小标宋_GBK" w:hAnsi="宋体" w:eastAsia="方正小标宋_GBK" w:cs="宋体"/>
                <w:color w:val="000000"/>
                <w:kern w:val="0"/>
                <w:sz w:val="24"/>
                <w:szCs w:val="24"/>
              </w:rPr>
              <w:t xml:space="preserve">  </w:t>
            </w:r>
          </w:p>
        </w:tc>
        <w:tc>
          <w:tcPr>
            <w:tcW w:w="6297" w:type="dxa"/>
            <w:gridSpan w:val="7"/>
            <w:tcBorders>
              <w:top w:val="single" w:color="FFFFFF" w:sz="8" w:space="0"/>
              <w:left w:val="nil"/>
              <w:bottom w:val="nil"/>
              <w:right w:val="single" w:color="FFFFFF" w:sz="8" w:space="0"/>
            </w:tcBorders>
            <w:vAlign w:val="center"/>
          </w:tcPr>
          <w:p>
            <w:pPr>
              <w:widowControl/>
              <w:jc w:val="right"/>
              <w:rPr>
                <w:rFonts w:ascii="方正书宋_GBK" w:hAnsi="宋体" w:eastAsia="方正书宋_GBK" w:cs="宋体"/>
                <w:color w:val="000000"/>
                <w:kern w:val="0"/>
                <w:sz w:val="24"/>
                <w:szCs w:val="24"/>
              </w:rPr>
            </w:pPr>
            <w:r>
              <w:rPr>
                <w:rFonts w:hint="eastAsia" w:ascii="方正书宋_GBK" w:hAnsi="宋体" w:eastAsia="方正书宋_GBK" w:cs="宋体"/>
                <w:color w:val="000000"/>
                <w:kern w:val="0"/>
                <w:sz w:val="24"/>
                <w:szCs w:val="24"/>
              </w:rPr>
              <w:t>单位：万元</w:t>
            </w:r>
          </w:p>
        </w:tc>
      </w:tr>
      <w:tr>
        <w:tblPrEx>
          <w:tblLayout w:type="fixed"/>
          <w:tblCellMar>
            <w:top w:w="0" w:type="dxa"/>
            <w:left w:w="108" w:type="dxa"/>
            <w:bottom w:w="0" w:type="dxa"/>
            <w:right w:w="108" w:type="dxa"/>
          </w:tblCellMar>
        </w:tblPrEx>
        <w:trPr>
          <w:trHeight w:val="270" w:hRule="atLeast"/>
        </w:trPr>
        <w:tc>
          <w:tcPr>
            <w:tcW w:w="337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政府采购项目来源</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采购物品名称</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政府采购目录序号</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数量  单位</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数量</w:t>
            </w:r>
          </w:p>
        </w:tc>
        <w:tc>
          <w:tcPr>
            <w:tcW w:w="904"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单价</w:t>
            </w:r>
          </w:p>
        </w:tc>
        <w:tc>
          <w:tcPr>
            <w:tcW w:w="6297" w:type="dxa"/>
            <w:gridSpan w:val="7"/>
            <w:tcBorders>
              <w:top w:val="single" w:color="000000" w:sz="4" w:space="0"/>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政府采购金额</w:t>
            </w:r>
          </w:p>
        </w:tc>
      </w:tr>
      <w:tr>
        <w:tblPrEx>
          <w:tblLayout w:type="fixed"/>
          <w:tblCellMar>
            <w:top w:w="0" w:type="dxa"/>
            <w:left w:w="108" w:type="dxa"/>
            <w:bottom w:w="0" w:type="dxa"/>
            <w:right w:w="108" w:type="dxa"/>
          </w:tblCellMar>
        </w:tblPrEx>
        <w:trPr>
          <w:trHeight w:val="270" w:hRule="atLeast"/>
        </w:trPr>
        <w:tc>
          <w:tcPr>
            <w:tcW w:w="2090" w:type="dxa"/>
            <w:vMerge w:val="restart"/>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项目名称</w:t>
            </w:r>
          </w:p>
        </w:tc>
        <w:tc>
          <w:tcPr>
            <w:tcW w:w="1287" w:type="dxa"/>
            <w:vMerge w:val="restart"/>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预算资金</w:t>
            </w: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restart"/>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总计</w:t>
            </w:r>
          </w:p>
        </w:tc>
        <w:tc>
          <w:tcPr>
            <w:tcW w:w="4497" w:type="dxa"/>
            <w:gridSpan w:val="5"/>
            <w:tcBorders>
              <w:top w:val="single" w:color="000000" w:sz="4" w:space="0"/>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当年部门预算安排资金</w:t>
            </w:r>
          </w:p>
        </w:tc>
        <w:tc>
          <w:tcPr>
            <w:tcW w:w="901" w:type="dxa"/>
            <w:vMerge w:val="restart"/>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其他渠道资金</w:t>
            </w:r>
          </w:p>
        </w:tc>
      </w:tr>
      <w:tr>
        <w:tblPrEx>
          <w:tblLayout w:type="fixed"/>
          <w:tblCellMar>
            <w:top w:w="0" w:type="dxa"/>
            <w:left w:w="108" w:type="dxa"/>
            <w:bottom w:w="0" w:type="dxa"/>
            <w:right w:w="108" w:type="dxa"/>
          </w:tblCellMar>
        </w:tblPrEx>
        <w:trPr>
          <w:trHeight w:val="1644" w:hRule="atLeast"/>
        </w:trPr>
        <w:tc>
          <w:tcPr>
            <w:tcW w:w="2090" w:type="dxa"/>
            <w:vMerge w:val="continue"/>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1287" w:type="dxa"/>
            <w:vMerge w:val="continue"/>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vMerge w:val="continue"/>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合计</w:t>
            </w:r>
          </w:p>
        </w:tc>
        <w:tc>
          <w:tcPr>
            <w:tcW w:w="899"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一般公共预算拨款</w:t>
            </w:r>
          </w:p>
        </w:tc>
        <w:tc>
          <w:tcPr>
            <w:tcW w:w="899"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基金预算拨款</w:t>
            </w:r>
          </w:p>
        </w:tc>
        <w:tc>
          <w:tcPr>
            <w:tcW w:w="899"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财政专户核拨</w:t>
            </w:r>
          </w:p>
        </w:tc>
        <w:tc>
          <w:tcPr>
            <w:tcW w:w="901" w:type="dxa"/>
            <w:tcBorders>
              <w:top w:val="nil"/>
              <w:left w:val="nil"/>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其他来源收入</w:t>
            </w:r>
          </w:p>
        </w:tc>
        <w:tc>
          <w:tcPr>
            <w:tcW w:w="901" w:type="dxa"/>
            <w:vMerge w:val="continue"/>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p>
        </w:tc>
      </w:tr>
      <w:tr>
        <w:tblPrEx>
          <w:tblLayout w:type="fixed"/>
          <w:tblCellMar>
            <w:top w:w="0" w:type="dxa"/>
            <w:left w:w="108" w:type="dxa"/>
            <w:bottom w:w="0" w:type="dxa"/>
            <w:right w:w="108" w:type="dxa"/>
          </w:tblCellMar>
        </w:tblPrEx>
        <w:trPr>
          <w:trHeight w:val="270" w:hRule="atLeast"/>
        </w:trPr>
        <w:tc>
          <w:tcPr>
            <w:tcW w:w="2090" w:type="dxa"/>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合　计</w:t>
            </w:r>
          </w:p>
        </w:tc>
        <w:tc>
          <w:tcPr>
            <w:tcW w:w="1287"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4"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r>
      <w:tr>
        <w:tblPrEx>
          <w:tblLayout w:type="fixed"/>
          <w:tblCellMar>
            <w:top w:w="0" w:type="dxa"/>
            <w:left w:w="108" w:type="dxa"/>
            <w:bottom w:w="0" w:type="dxa"/>
            <w:right w:w="108" w:type="dxa"/>
          </w:tblCellMar>
        </w:tblPrEx>
        <w:trPr>
          <w:trHeight w:val="270" w:hRule="atLeast"/>
        </w:trPr>
        <w:tc>
          <w:tcPr>
            <w:tcW w:w="2090" w:type="dxa"/>
            <w:tcBorders>
              <w:top w:val="nil"/>
              <w:left w:val="single" w:color="000000" w:sz="4" w:space="0"/>
              <w:bottom w:val="single" w:color="000000" w:sz="4" w:space="0"/>
              <w:right w:val="single" w:color="000000" w:sz="4" w:space="0"/>
            </w:tcBorders>
            <w:vAlign w:val="center"/>
          </w:tcPr>
          <w:p>
            <w:pPr>
              <w:widowControl/>
              <w:jc w:val="center"/>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xml:space="preserve"> 小计</w:t>
            </w:r>
          </w:p>
        </w:tc>
        <w:tc>
          <w:tcPr>
            <w:tcW w:w="1287"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4"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b/>
                <w:bCs/>
                <w:color w:val="000000"/>
                <w:kern w:val="0"/>
                <w:szCs w:val="21"/>
              </w:rPr>
            </w:pPr>
            <w:r>
              <w:rPr>
                <w:rFonts w:hint="eastAsia" w:ascii="方正书宋_GBK" w:hAnsi="宋体" w:eastAsia="方正书宋_GBK" w:cs="宋体"/>
                <w:b/>
                <w:bCs/>
                <w:color w:val="000000"/>
                <w:kern w:val="0"/>
                <w:szCs w:val="21"/>
              </w:rPr>
              <w:t>　</w:t>
            </w:r>
          </w:p>
        </w:tc>
      </w:tr>
      <w:tr>
        <w:tblPrEx>
          <w:tblLayout w:type="fixed"/>
          <w:tblCellMar>
            <w:top w:w="0" w:type="dxa"/>
            <w:left w:w="108" w:type="dxa"/>
            <w:bottom w:w="0" w:type="dxa"/>
            <w:right w:w="108" w:type="dxa"/>
          </w:tblCellMar>
        </w:tblPrEx>
        <w:trPr>
          <w:trHeight w:val="510" w:hRule="atLeast"/>
        </w:trPr>
        <w:tc>
          <w:tcPr>
            <w:tcW w:w="2090" w:type="dxa"/>
            <w:tcBorders>
              <w:top w:val="nil"/>
              <w:left w:val="single" w:color="000000" w:sz="4" w:space="0"/>
              <w:bottom w:val="single" w:color="000000" w:sz="4" w:space="0"/>
              <w:right w:val="single" w:color="000000" w:sz="4" w:space="0"/>
            </w:tcBorders>
            <w:vAlign w:val="center"/>
          </w:tcPr>
          <w:p>
            <w:pPr>
              <w:widowControl/>
              <w:jc w:val="left"/>
              <w:rPr>
                <w:rFonts w:ascii="方正书宋_GBK" w:hAnsi="宋体" w:eastAsia="方正书宋_GBK" w:cs="宋体"/>
                <w:color w:val="000000"/>
                <w:kern w:val="0"/>
                <w:szCs w:val="21"/>
              </w:rPr>
            </w:pPr>
          </w:p>
        </w:tc>
        <w:tc>
          <w:tcPr>
            <w:tcW w:w="1287"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lef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904"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r>
              <w:rPr>
                <w:rFonts w:hint="eastAsia" w:ascii="方正书宋_GBK" w:hAnsi="宋体" w:eastAsia="方正书宋_GBK" w:cs="宋体"/>
                <w:color w:val="000000"/>
                <w:kern w:val="0"/>
                <w:szCs w:val="21"/>
              </w:rPr>
              <w:t>　</w:t>
            </w:r>
          </w:p>
        </w:tc>
        <w:tc>
          <w:tcPr>
            <w:tcW w:w="899"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r>
              <w:rPr>
                <w:rFonts w:hint="eastAsia" w:ascii="方正书宋_GBK" w:hAnsi="宋体" w:eastAsia="方正书宋_GBK" w:cs="宋体"/>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r>
              <w:rPr>
                <w:rFonts w:hint="eastAsia" w:ascii="方正书宋_GBK" w:hAnsi="宋体" w:eastAsia="方正书宋_GBK" w:cs="宋体"/>
                <w:color w:val="000000"/>
                <w:kern w:val="0"/>
                <w:szCs w:val="21"/>
              </w:rPr>
              <w:t>　</w:t>
            </w:r>
          </w:p>
        </w:tc>
        <w:tc>
          <w:tcPr>
            <w:tcW w:w="901" w:type="dxa"/>
            <w:tcBorders>
              <w:top w:val="nil"/>
              <w:left w:val="nil"/>
              <w:bottom w:val="single" w:color="000000" w:sz="4" w:space="0"/>
              <w:right w:val="single" w:color="000000" w:sz="4" w:space="0"/>
            </w:tcBorders>
            <w:vAlign w:val="center"/>
          </w:tcPr>
          <w:p>
            <w:pPr>
              <w:widowControl/>
              <w:jc w:val="right"/>
              <w:rPr>
                <w:rFonts w:ascii="方正书宋_GBK" w:hAnsi="宋体" w:eastAsia="方正书宋_GBK" w:cs="宋体"/>
                <w:color w:val="000000"/>
                <w:kern w:val="0"/>
                <w:szCs w:val="21"/>
              </w:rPr>
            </w:pPr>
            <w:r>
              <w:rPr>
                <w:rFonts w:hint="eastAsia" w:ascii="方正书宋_GBK" w:hAnsi="宋体" w:eastAsia="方正书宋_GBK" w:cs="宋体"/>
                <w:color w:val="000000"/>
                <w:kern w:val="0"/>
                <w:szCs w:val="21"/>
              </w:rPr>
              <w:t>　</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政府采购</w:t>
      </w:r>
      <w:r>
        <w:rPr>
          <w:rFonts w:ascii="方正书宋_GBK" w:hAnsi="方正书宋_GBK" w:eastAsia="方正书宋_GBK" w:cs="方正书宋_GBK"/>
          <w:color w:val="000000"/>
          <w:sz w:val="21"/>
        </w:rPr>
        <w:t>预算财政拨款预算，空表列示。</w:t>
      </w:r>
    </w:p>
    <w:p>
      <w:pPr>
        <w:spacing w:before="0" w:after="0"/>
        <w:ind w:firstLine="640"/>
        <w:jc w:val="left"/>
        <w:outlineLvl w:val="9"/>
      </w:pP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石家庄市长安区文化广电体育和旅游局（含所属单位）上年末固定资产金额为</w:t>
      </w:r>
      <w:r>
        <w:rPr>
          <w:rFonts w:hint="eastAsia" w:ascii="Times New Roman" w:hAnsi="Times New Roman" w:eastAsia="方正仿宋_GBK" w:cs="Times New Roman"/>
          <w:b w:val="0"/>
          <w:color w:val="000000"/>
          <w:sz w:val="28"/>
        </w:rPr>
        <w:t>384.64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80"/>
        <w:gridCol w:w="4686"/>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5180" w:type="dxa"/>
            <w:tcBorders>
              <w:top w:val="single" w:color="FFFFFF" w:sz="6" w:space="0"/>
              <w:left w:val="single" w:color="FFFFFF" w:sz="6" w:space="0"/>
              <w:right w:val="single" w:color="FFFFFF" w:sz="6" w:space="0"/>
            </w:tcBorders>
            <w:vAlign w:val="center"/>
          </w:tcPr>
          <w:p>
            <w:pPr>
              <w:pStyle w:val="11"/>
            </w:pPr>
            <w:r>
              <w:rPr>
                <w:rFonts w:hint="eastAsia"/>
                <w:lang w:val="en-US" w:eastAsia="zh-CN"/>
              </w:rPr>
              <w:t>357石家庄市长安区文化广电体育和旅游局</w:t>
            </w:r>
          </w:p>
        </w:tc>
        <w:tc>
          <w:tcPr>
            <w:tcW w:w="4686" w:type="dxa"/>
            <w:tcBorders>
              <w:top w:val="single" w:color="FFFFFF" w:sz="6" w:space="0"/>
              <w:left w:val="single" w:color="FFFFFF" w:sz="6" w:space="0"/>
              <w:right w:val="single" w:color="FFFFFF" w:sz="6" w:space="0"/>
            </w:tcBorders>
            <w:vAlign w:val="center"/>
          </w:tcPr>
          <w:p>
            <w:pPr>
              <w:pStyle w:val="9"/>
            </w:pPr>
            <w:r>
              <w:t>截止时间：2021-12-31</w:t>
            </w:r>
          </w:p>
        </w:tc>
        <w:tc>
          <w:tcPr>
            <w:tcW w:w="493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5180" w:type="dxa"/>
            <w:vAlign w:val="center"/>
          </w:tcPr>
          <w:p>
            <w:pPr>
              <w:pStyle w:val="12"/>
            </w:pPr>
            <w:r>
              <w:t>项   目</w:t>
            </w:r>
          </w:p>
        </w:tc>
        <w:tc>
          <w:tcPr>
            <w:tcW w:w="4686" w:type="dxa"/>
            <w:vAlign w:val="center"/>
          </w:tcPr>
          <w:p>
            <w:pPr>
              <w:pStyle w:val="12"/>
            </w:pPr>
            <w:r>
              <w:t>数量</w:t>
            </w:r>
          </w:p>
        </w:tc>
        <w:tc>
          <w:tcPr>
            <w:tcW w:w="4933" w:type="dxa"/>
            <w:vAlign w:val="center"/>
          </w:tcPr>
          <w:p>
            <w:pPr>
              <w:pStyle w:val="12"/>
            </w:pPr>
            <w:r>
              <w:t>价值（金额单位：</w:t>
            </w:r>
            <w:r>
              <w:rPr>
                <w:rFonts w:hint="eastAsia"/>
                <w:lang w:val="en-US"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5180" w:type="dxa"/>
            <w:textDirection w:val="lrTb"/>
            <w:vAlign w:val="center"/>
          </w:tcPr>
          <w:p>
            <w:pPr>
              <w:widowControl/>
              <w:jc w:val="left"/>
            </w:pPr>
            <w:r>
              <w:rPr>
                <w:rFonts w:hint="eastAsia" w:ascii="宋体" w:hAnsi="宋体" w:cs="宋体"/>
                <w:color w:val="000000"/>
                <w:kern w:val="0"/>
                <w:szCs w:val="21"/>
              </w:rPr>
              <w:t>资产总额</w:t>
            </w:r>
          </w:p>
        </w:tc>
        <w:tc>
          <w:tcPr>
            <w:tcW w:w="4686" w:type="dxa"/>
            <w:vAlign w:val="center"/>
          </w:tcPr>
          <w:p>
            <w:pPr>
              <w:pStyle w:val="15"/>
            </w:pPr>
          </w:p>
        </w:tc>
        <w:tc>
          <w:tcPr>
            <w:tcW w:w="4933" w:type="dxa"/>
            <w:textDirection w:val="lrTb"/>
            <w:vAlign w:val="center"/>
          </w:tcPr>
          <w:p>
            <w:pPr>
              <w:widowControl/>
              <w:jc w:val="right"/>
            </w:pPr>
            <w:r>
              <w:rPr>
                <w:rFonts w:hint="eastAsia" w:cs="宋体"/>
                <w:color w:val="000000"/>
                <w:kern w:val="0"/>
                <w:szCs w:val="21"/>
              </w:rPr>
              <w:t>384.64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5180" w:type="dxa"/>
            <w:textDirection w:val="lrTb"/>
            <w:vAlign w:val="center"/>
          </w:tcPr>
          <w:p>
            <w:pPr>
              <w:widowControl/>
              <w:jc w:val="left"/>
            </w:pPr>
            <w:r>
              <w:rPr>
                <w:rFonts w:hint="eastAsia" w:ascii="宋体" w:hAnsi="宋体" w:cs="宋体"/>
                <w:color w:val="000000"/>
                <w:kern w:val="0"/>
                <w:szCs w:val="21"/>
              </w:rPr>
              <w:t>1、房屋（平方米）</w:t>
            </w:r>
          </w:p>
        </w:tc>
        <w:tc>
          <w:tcPr>
            <w:tcW w:w="4686" w:type="dxa"/>
            <w:vAlign w:val="center"/>
          </w:tcPr>
          <w:p>
            <w:pPr>
              <w:pStyle w:val="15"/>
            </w:pPr>
          </w:p>
        </w:tc>
        <w:tc>
          <w:tcPr>
            <w:tcW w:w="4933" w:type="dxa"/>
            <w:textDirection w:val="lrTb"/>
            <w:vAlign w:val="center"/>
          </w:tcPr>
          <w:p>
            <w:pPr>
              <w:widowControl/>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5180" w:type="dxa"/>
            <w:textDirection w:val="lrTb"/>
            <w:vAlign w:val="center"/>
          </w:tcPr>
          <w:p>
            <w:pPr>
              <w:widowControl/>
              <w:jc w:val="left"/>
            </w:pPr>
            <w:r>
              <w:rPr>
                <w:rFonts w:hint="eastAsia" w:cs="宋体"/>
                <w:color w:val="000000"/>
                <w:kern w:val="0"/>
                <w:szCs w:val="21"/>
              </w:rPr>
              <w:t xml:space="preserve">   其中：</w:t>
            </w:r>
            <w:r>
              <w:rPr>
                <w:rFonts w:hint="eastAsia" w:ascii="宋体" w:hAnsi="宋体" w:cs="宋体"/>
                <w:color w:val="000000"/>
                <w:kern w:val="0"/>
                <w:szCs w:val="21"/>
              </w:rPr>
              <w:t>办公用房</w:t>
            </w:r>
          </w:p>
        </w:tc>
        <w:tc>
          <w:tcPr>
            <w:tcW w:w="4686" w:type="dxa"/>
            <w:vAlign w:val="center"/>
          </w:tcPr>
          <w:p>
            <w:pPr>
              <w:pStyle w:val="15"/>
            </w:pPr>
          </w:p>
        </w:tc>
        <w:tc>
          <w:tcPr>
            <w:tcW w:w="4933" w:type="dxa"/>
            <w:textDirection w:val="lrTb"/>
            <w:vAlign w:val="center"/>
          </w:tcPr>
          <w:p>
            <w:pPr>
              <w:widowControl/>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5180" w:type="dxa"/>
            <w:textDirection w:val="lrTb"/>
            <w:vAlign w:val="center"/>
          </w:tcPr>
          <w:p>
            <w:pPr>
              <w:widowControl/>
              <w:jc w:val="left"/>
            </w:pPr>
            <w:r>
              <w:rPr>
                <w:rFonts w:hint="eastAsia" w:ascii="宋体" w:hAnsi="宋体" w:cs="宋体"/>
                <w:color w:val="000000"/>
                <w:kern w:val="0"/>
                <w:szCs w:val="21"/>
              </w:rPr>
              <w:t>2、车辆（台、辆）</w:t>
            </w:r>
          </w:p>
        </w:tc>
        <w:tc>
          <w:tcPr>
            <w:tcW w:w="4686" w:type="dxa"/>
            <w:vAlign w:val="center"/>
          </w:tcPr>
          <w:p>
            <w:pPr>
              <w:pStyle w:val="15"/>
              <w:rPr>
                <w:rFonts w:hint="eastAsia" w:eastAsia="方正书宋_GBK"/>
                <w:lang w:val="en-US" w:eastAsia="zh-CN"/>
              </w:rPr>
            </w:pPr>
            <w:r>
              <w:rPr>
                <w:rFonts w:hint="eastAsia"/>
                <w:lang w:val="en-US" w:eastAsia="zh-CN"/>
              </w:rPr>
              <w:t>2</w:t>
            </w:r>
          </w:p>
        </w:tc>
        <w:tc>
          <w:tcPr>
            <w:tcW w:w="4933" w:type="dxa"/>
            <w:textDirection w:val="lrTb"/>
            <w:vAlign w:val="center"/>
          </w:tcPr>
          <w:p>
            <w:pPr>
              <w:widowControl/>
              <w:jc w:val="right"/>
            </w:pPr>
            <w:r>
              <w:rPr>
                <w:rFonts w:hint="eastAsia" w:cs="宋体"/>
                <w:kern w:val="0"/>
                <w:szCs w:val="21"/>
              </w:rP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5180" w:type="dxa"/>
            <w:textDirection w:val="lrTb"/>
            <w:vAlign w:val="center"/>
          </w:tcPr>
          <w:p>
            <w:pPr>
              <w:widowControl/>
              <w:jc w:val="left"/>
            </w:pPr>
            <w:r>
              <w:rPr>
                <w:rFonts w:hint="eastAsia" w:ascii="宋体" w:hAnsi="宋体" w:cs="宋体"/>
                <w:color w:val="000000"/>
                <w:kern w:val="0"/>
                <w:szCs w:val="21"/>
              </w:rPr>
              <w:t>3、单价在</w:t>
            </w:r>
            <w:r>
              <w:rPr>
                <w:rFonts w:cs="宋体"/>
                <w:color w:val="000000"/>
                <w:kern w:val="0"/>
                <w:szCs w:val="21"/>
              </w:rPr>
              <w:t>20</w:t>
            </w:r>
            <w:r>
              <w:rPr>
                <w:rFonts w:hint="eastAsia" w:ascii="宋体" w:hAnsi="宋体" w:cs="宋体"/>
                <w:color w:val="000000"/>
                <w:kern w:val="0"/>
                <w:szCs w:val="21"/>
              </w:rPr>
              <w:t>万元以上的设备</w:t>
            </w:r>
          </w:p>
        </w:tc>
        <w:tc>
          <w:tcPr>
            <w:tcW w:w="4686" w:type="dxa"/>
            <w:vAlign w:val="center"/>
          </w:tcPr>
          <w:p>
            <w:pPr>
              <w:pStyle w:val="15"/>
            </w:pPr>
          </w:p>
        </w:tc>
        <w:tc>
          <w:tcPr>
            <w:tcW w:w="4933" w:type="dxa"/>
            <w:textDirection w:val="lrTb"/>
            <w:vAlign w:val="center"/>
          </w:tcPr>
          <w:p>
            <w:pPr>
              <w:widowControl/>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5180" w:type="dxa"/>
            <w:textDirection w:val="lrTb"/>
            <w:vAlign w:val="center"/>
          </w:tcPr>
          <w:p>
            <w:pPr>
              <w:widowControl/>
              <w:jc w:val="left"/>
            </w:pPr>
            <w:r>
              <w:rPr>
                <w:rFonts w:hint="eastAsia" w:ascii="宋体" w:hAnsi="宋体" w:cs="宋体"/>
                <w:color w:val="000000"/>
                <w:kern w:val="0"/>
                <w:szCs w:val="21"/>
              </w:rPr>
              <w:t>4、其他固定资产</w:t>
            </w:r>
          </w:p>
        </w:tc>
        <w:tc>
          <w:tcPr>
            <w:tcW w:w="4686" w:type="dxa"/>
            <w:vAlign w:val="center"/>
          </w:tcPr>
          <w:p>
            <w:pPr>
              <w:pStyle w:val="15"/>
            </w:pPr>
          </w:p>
        </w:tc>
        <w:tc>
          <w:tcPr>
            <w:tcW w:w="4933" w:type="dxa"/>
            <w:textDirection w:val="lrTb"/>
            <w:vAlign w:val="center"/>
          </w:tcPr>
          <w:p>
            <w:pPr>
              <w:widowControl/>
              <w:jc w:val="right"/>
            </w:pPr>
            <w:r>
              <w:rPr>
                <w:rFonts w:hint="eastAsia" w:cs="宋体"/>
                <w:color w:val="000000"/>
                <w:kern w:val="0"/>
                <w:szCs w:val="21"/>
              </w:rPr>
              <w:t>362.14</w:t>
            </w:r>
          </w:p>
        </w:tc>
      </w:tr>
    </w:tbl>
    <w:p>
      <w:pPr>
        <w:spacing w:before="0" w:after="0"/>
        <w:ind w:firstLine="640"/>
        <w:jc w:val="left"/>
        <w:outlineLvl w:val="9"/>
      </w:pPr>
      <w:r>
        <w:rPr>
          <w:rFonts w:hint="eastAsia" w:ascii="方正书宋_GBK" w:hAnsi="方正书宋_GBK" w:eastAsia="方正书宋_GBK" w:cs="方正书宋_GBK"/>
          <w:color w:val="000000"/>
          <w:sz w:val="21"/>
          <w:lang w:val="en-US" w:eastAsia="zh-CN"/>
        </w:rPr>
        <w:t xml:space="preserve"> </w:t>
      </w: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部门</w:t>
      </w:r>
      <w:bookmarkStart w:id="18" w:name="_GoBack"/>
      <w:bookmarkEnd w:id="18"/>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r>
        <w:rPr>
          <w:rFonts w:hint="eastAsia" w:ascii="方正小标宋_GBK" w:hAnsi="方正小标宋_GBK" w:eastAsia="方正小标宋_GBK" w:cs="方正小标宋_GBK"/>
          <w:color w:val="000000"/>
          <w:sz w:val="72"/>
          <w:lang w:val="en-US" w:eastAsia="zh-CN"/>
        </w:rPr>
        <w:t xml:space="preserve"> </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0002E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0002EFF" w:usb1="C000247B" w:usb2="00000009" w:usb3="00000000" w:csb0="200001FF"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0002EFF" w:usb1="C000247B" w:usb2="00000009" w:usb3="00000000" w:csb0="200001FF" w:csb1="00000000"/>
  </w:font>
  <w:font w:name="Arial">
    <w:panose1 w:val="020B0604020202020204"/>
    <w:charset w:val="01"/>
    <w:family w:val="modern"/>
    <w:pitch w:val="default"/>
    <w:sig w:usb0="E0002EFF" w:usb1="C000785B" w:usb2="00000009" w:usb3="00000000" w:csb0="400001FF" w:csb1="FFFF0000"/>
  </w:font>
  <w:font w:name="Courier New">
    <w:panose1 w:val="02070309020205020404"/>
    <w:charset w:val="01"/>
    <w:family w:val="roman"/>
    <w:pitch w:val="default"/>
    <w:sig w:usb0="E0002E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Courier New">
    <w:panose1 w:val="02070309020205020404"/>
    <w:charset w:val="00"/>
    <w:family w:val="auto"/>
    <w:pitch w:val="default"/>
    <w:sig w:usb0="E0002EFF" w:usb1="C0007843" w:usb2="00000009" w:usb3="00000000" w:csb0="400001FF" w:csb1="FFFF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黑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modern"/>
    <w:pitch w:val="default"/>
    <w:sig w:usb0="00000000" w:usb1="00000000" w:usb2="00000000" w:usb3="00000000" w:csb0="00040001" w:csb1="00000000"/>
  </w:font>
  <w:font w:name="方正仿宋_GBK">
    <w:altName w:val="宋体"/>
    <w:panose1 w:val="00000000000000000000"/>
    <w:charset w:val="86"/>
    <w:family w:val="modern"/>
    <w:pitch w:val="default"/>
    <w:sig w:usb0="00000000" w:usb1="00000000" w:usb2="00000000" w:usb3="00000000" w:csb0="00040001" w:csb1="00000000"/>
  </w:font>
  <w:font w:name="方正小标宋_GBK">
    <w:altName w:val="宋体"/>
    <w:panose1 w:val="00000000000000000000"/>
    <w:charset w:val="86"/>
    <w:family w:val="modern"/>
    <w:pitch w:val="default"/>
    <w:sig w:usb0="00000000" w:usb1="00000000" w:usb2="00000000" w:usb3="00000000" w:csb0="00040001" w:csb1="00000000"/>
  </w:font>
  <w:font w:name="黑体">
    <w:panose1 w:val="02010609060101010101"/>
    <w:charset w:val="86"/>
    <w:family w:val="swiss"/>
    <w:pitch w:val="default"/>
    <w:sig w:usb0="800002BF" w:usb1="38CF7CFA" w:usb2="00000016" w:usb3="00000000" w:csb0="00040001" w:csb1="00000000"/>
  </w:font>
  <w:font w:name="仿宋_GB2312">
    <w:altName w:val="仿宋"/>
    <w:panose1 w:val="02010609030101010101"/>
    <w:charset w:val="86"/>
    <w:family w:val="swiss"/>
    <w:pitch w:val="default"/>
    <w:sig w:usb0="00000000" w:usb1="00000000" w:usb2="00000010" w:usb3="00000000" w:csb0="00040000" w:csb1="00000000"/>
  </w:font>
  <w:font w:name="仿宋">
    <w:panose1 w:val="02010609060101010101"/>
    <w:charset w:val="86"/>
    <w:family w:val="swiss"/>
    <w:pitch w:val="default"/>
    <w:sig w:usb0="800002BF" w:usb1="38CF7CFA" w:usb2="00000016" w:usb3="00000000" w:csb0="00040001" w:csb1="00000000"/>
  </w:font>
  <w:font w:name="方正书宋_GBK">
    <w:altName w:val="宋体"/>
    <w:panose1 w:val="00000000000000000000"/>
    <w:charset w:val="86"/>
    <w:family w:val="swiss"/>
    <w:pitch w:val="default"/>
    <w:sig w:usb0="00000000" w:usb1="00000000" w:usb2="00000000" w:usb3="00000000" w:csb0="00040001" w:csb1="00000000"/>
  </w:font>
  <w:font w:name="方正仿宋_GBK">
    <w:altName w:val="宋体"/>
    <w:panose1 w:val="00000000000000000000"/>
    <w:charset w:val="86"/>
    <w:family w:val="swiss"/>
    <w:pitch w:val="default"/>
    <w:sig w:usb0="00000000" w:usb1="00000000" w:usb2="00000000" w:usb3="00000000" w:csb0="00040001" w:csb1="00000000"/>
  </w:font>
  <w:font w:name="方正小标宋_GBK">
    <w:altName w:val="宋体"/>
    <w:panose1 w:val="00000000000000000000"/>
    <w:charset w:val="86"/>
    <w:family w:val="swiss"/>
    <w:pitch w:val="default"/>
    <w:sig w:usb0="00000000" w:usb1="00000000" w:usb2="00000000" w:usb3="00000000" w:csb0="00040001" w:csb1="00000000"/>
  </w:font>
  <w:font w:name="黑体">
    <w:panose1 w:val="02010609060101010101"/>
    <w:charset w:val="86"/>
    <w:family w:val="decorative"/>
    <w:pitch w:val="default"/>
    <w:sig w:usb0="800002BF" w:usb1="38CF7CFA" w:usb2="00000016" w:usb3="00000000" w:csb0="00040001" w:csb1="00000000"/>
  </w:font>
  <w:font w:name="仿宋_GB2312">
    <w:altName w:val="仿宋"/>
    <w:panose1 w:val="02010609030101010101"/>
    <w:charset w:val="86"/>
    <w:family w:val="decorative"/>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方正书宋_GBK">
    <w:altName w:val="宋体"/>
    <w:panose1 w:val="00000000000000000000"/>
    <w:charset w:val="86"/>
    <w:family w:val="decorative"/>
    <w:pitch w:val="default"/>
    <w:sig w:usb0="00000000" w:usb1="00000000" w:usb2="00000000" w:usb3="00000000" w:csb0="00040001" w:csb1="00000000"/>
  </w:font>
  <w:font w:name="方正仿宋_GBK">
    <w:altName w:val="宋体"/>
    <w:panose1 w:val="00000000000000000000"/>
    <w:charset w:val="86"/>
    <w:family w:val="decorative"/>
    <w:pitch w:val="default"/>
    <w:sig w:usb0="00000000" w:usb1="00000000" w:usb2="00000000" w:usb3="00000000" w:csb0="00040001" w:csb1="00000000"/>
  </w:font>
  <w:font w:name="方正小标宋_GBK">
    <w:altName w:val="宋体"/>
    <w:panose1 w:val="00000000000000000000"/>
    <w:charset w:val="86"/>
    <w:family w:val="decorative"/>
    <w:pitch w:val="default"/>
    <w:sig w:usb0="00000000" w:usb1="00000000" w:usb2="00000000" w:usb3="00000000" w:csb0="00040001" w:csb1="00000000"/>
  </w:font>
  <w:font w:name="黑体">
    <w:panose1 w:val="02010609060101010101"/>
    <w:charset w:val="86"/>
    <w:family w:val="roman"/>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10" w:usb3="00000000" w:csb0="00040000" w:csb1="00000000"/>
  </w:font>
  <w:font w:name="仿宋">
    <w:panose1 w:val="02010609060101010101"/>
    <w:charset w:val="86"/>
    <w:family w:val="roma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655973976">
    <w:nsid w:val="62B42858"/>
    <w:multiLevelType w:val="singleLevel"/>
    <w:tmpl w:val="62B42858"/>
    <w:lvl w:ilvl="0" w:tentative="1">
      <w:start w:val="4"/>
      <w:numFmt w:val="chineseCounting"/>
      <w:suff w:val="nothing"/>
      <w:lvlText w:val="%1、"/>
      <w:lvlJc w:val="left"/>
    </w:lvl>
  </w:abstractNum>
  <w:num w:numId="1">
    <w:abstractNumId w:val="165597397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1C61C59"/>
    <w:rsid w:val="052E2053"/>
    <w:rsid w:val="06D60279"/>
    <w:rsid w:val="08260BDB"/>
    <w:rsid w:val="0FFD2AE9"/>
    <w:rsid w:val="100B1871"/>
    <w:rsid w:val="12D26847"/>
    <w:rsid w:val="137B7BA9"/>
    <w:rsid w:val="1846723E"/>
    <w:rsid w:val="1AA25B5B"/>
    <w:rsid w:val="20411E68"/>
    <w:rsid w:val="204C2AD7"/>
    <w:rsid w:val="274077C3"/>
    <w:rsid w:val="2EC437CD"/>
    <w:rsid w:val="34301710"/>
    <w:rsid w:val="387837BC"/>
    <w:rsid w:val="3B153810"/>
    <w:rsid w:val="472E72E6"/>
    <w:rsid w:val="481346A1"/>
    <w:rsid w:val="4C62392F"/>
    <w:rsid w:val="4D1B5412"/>
    <w:rsid w:val="4EF73270"/>
    <w:rsid w:val="4F4806A6"/>
    <w:rsid w:val="50C915D9"/>
    <w:rsid w:val="59C8509F"/>
    <w:rsid w:val="5A517510"/>
    <w:rsid w:val="61AE2DEB"/>
    <w:rsid w:val="62C6738C"/>
    <w:rsid w:val="6BFA6566"/>
    <w:rsid w:val="6D7B1540"/>
    <w:rsid w:val="6F7B373E"/>
    <w:rsid w:val="799B4C19"/>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31">
    <w:name w:val="font01"/>
    <w:basedOn w:val="6"/>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2022-06-22T15:01:48Z</dcterms:created>
  <dcterms:modified xsi:type="dcterms:W3CDTF">2022-06-22T07:01:48Z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2022-06-22T15:01:53Z</dcterms:created>
  <dcterms:modified xsi:type="dcterms:W3CDTF">2022-06-22T07:01:52Z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2022-06-22T15:01:53Z</dcterms:created>
  <dcterms:modified xsi:type="dcterms:W3CDTF">2022-06-22T07:01:53Z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2022-06-22T15:01:54Z</dcterms:created>
  <dcterms:modified xsi:type="dcterms:W3CDTF">2022-06-22T07:01:53Z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2022-06-22T15:01:54Z</dcterms:created>
  <dcterms:modified xsi:type="dcterms:W3CDTF">2022-06-22T07:01:54Z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2022-06-22T15:01:54Z</dcterms:created>
  <dcterms:modified xsi:type="dcterms:W3CDTF">2022-06-22T07:01:54Z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2022-06-22T15:01:54Z</dcterms:created>
  <dcterms:modified xsi:type="dcterms:W3CDTF">2022-06-22T07:01:54Z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2022-06-22T15:01:55Z</dcterms:created>
  <dcterms:modified xsi:type="dcterms:W3CDTF">2022-06-22T07:01:55Z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2022-06-22T15:01:46Z</dcterms:created>
  <dcterms:modified xsi:type="dcterms:W3CDTF">2022-06-22T07:01:46Z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2022-06-22T15:01:46Z</dcterms:created>
  <dcterms:modified xsi:type="dcterms:W3CDTF">2022-06-22T07:01:46Z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2022-06-22T15:01:46Z</dcterms:created>
  <dcterms:modified xsi:type="dcterms:W3CDTF">2022-06-22T07:01:46Z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2022-06-22T15:01:46Z</dcterms:created>
  <dcterms:modified xsi:type="dcterms:W3CDTF">2022-06-22T07:01:46Z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2022-06-22T15:01:45Z</dcterms:created>
  <dcterms:modified xsi:type="dcterms:W3CDTF">2022-06-22T07:01:45Z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2022-06-22T15:01:46Z</dcterms:created>
  <dcterms:modified xsi:type="dcterms:W3CDTF">2022-06-22T07:01:46Z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2022-06-22T15:01:47Z</dcterms:created>
  <dcterms:modified xsi:type="dcterms:W3CDTF">2022-06-22T07:01:47Z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4714f84-8803-4911-84c9-439d032ecf3e}">
  <ds:schemaRefs/>
</ds:datastoreItem>
</file>

<file path=customXml/itemProps11.xml><?xml version="1.0" encoding="utf-8"?>
<ds:datastoreItem xmlns:ds="http://schemas.openxmlformats.org/officeDocument/2006/customXml" ds:itemID="{46732cb6-7e40-4603-92ea-da9c30e37979}">
  <ds:schemaRefs/>
</ds:datastoreItem>
</file>

<file path=customXml/itemProps12.xml><?xml version="1.0" encoding="utf-8"?>
<ds:datastoreItem xmlns:ds="http://schemas.openxmlformats.org/officeDocument/2006/customXml" ds:itemID="{32a07c1d-88c3-4a66-ab99-5f8158ebbc6a}">
  <ds:schemaRefs/>
</ds:datastoreItem>
</file>

<file path=customXml/itemProps13.xml><?xml version="1.0" encoding="utf-8"?>
<ds:datastoreItem xmlns:ds="http://schemas.openxmlformats.org/officeDocument/2006/customXml" ds:itemID="{96930dc0-25ef-4296-a351-95ac29f46cad}">
  <ds:schemaRefs/>
</ds:datastoreItem>
</file>

<file path=customXml/itemProps14.xml><?xml version="1.0" encoding="utf-8"?>
<ds:datastoreItem xmlns:ds="http://schemas.openxmlformats.org/officeDocument/2006/customXml" ds:itemID="{8f1a83ae-5a18-4f7a-9de5-af0f09e9511d}">
  <ds:schemaRefs/>
</ds:datastoreItem>
</file>

<file path=customXml/itemProps15.xml><?xml version="1.0" encoding="utf-8"?>
<ds:datastoreItem xmlns:ds="http://schemas.openxmlformats.org/officeDocument/2006/customXml" ds:itemID="{cc83ee2d-852d-4130-8ec2-e9a3df3a42de}">
  <ds:schemaRefs/>
</ds:datastoreItem>
</file>

<file path=customXml/itemProps16.xml><?xml version="1.0" encoding="utf-8"?>
<ds:datastoreItem xmlns:ds="http://schemas.openxmlformats.org/officeDocument/2006/customXml" ds:itemID="{8bbefb21-5985-4426-b643-29a109b55fca}">
  <ds:schemaRefs/>
</ds:datastoreItem>
</file>

<file path=customXml/itemProps17.xml><?xml version="1.0" encoding="utf-8"?>
<ds:datastoreItem xmlns:ds="http://schemas.openxmlformats.org/officeDocument/2006/customXml" ds:itemID="{540f209c-184c-4cff-b3bb-d3d343ed0850}">
  <ds:schemaRefs/>
</ds:datastoreItem>
</file>

<file path=customXml/itemProps18.xml><?xml version="1.0" encoding="utf-8"?>
<ds:datastoreItem xmlns:ds="http://schemas.openxmlformats.org/officeDocument/2006/customXml" ds:itemID="{2942500e-7f0f-4826-ad45-81f6d31c1027}">
  <ds:schemaRefs/>
</ds:datastoreItem>
</file>

<file path=customXml/itemProps19.xml><?xml version="1.0" encoding="utf-8"?>
<ds:datastoreItem xmlns:ds="http://schemas.openxmlformats.org/officeDocument/2006/customXml" ds:itemID="{8f6b8162-7842-4b39-9987-ca4e0a2a99be}">
  <ds:schemaRefs/>
</ds:datastoreItem>
</file>

<file path=customXml/itemProps2.xml><?xml version="1.0" encoding="utf-8"?>
<ds:datastoreItem xmlns:ds="http://schemas.openxmlformats.org/officeDocument/2006/customXml" ds:itemID="{bd6a38e4-c39c-4462-a529-047f52894514}">
  <ds:schemaRefs/>
</ds:datastoreItem>
</file>

<file path=customXml/itemProps20.xml><?xml version="1.0" encoding="utf-8"?>
<ds:datastoreItem xmlns:ds="http://schemas.openxmlformats.org/officeDocument/2006/customXml" ds:itemID="{7814eb7c-1b2b-479f-bae6-d239e8cb4cd4}">
  <ds:schemaRefs/>
</ds:datastoreItem>
</file>

<file path=customXml/itemProps21.xml><?xml version="1.0" encoding="utf-8"?>
<ds:datastoreItem xmlns:ds="http://schemas.openxmlformats.org/officeDocument/2006/customXml" ds:itemID="{e26347f2-4876-4a97-9cd8-dae91eee3cde}">
  <ds:schemaRefs/>
</ds:datastoreItem>
</file>

<file path=customXml/itemProps22.xml><?xml version="1.0" encoding="utf-8"?>
<ds:datastoreItem xmlns:ds="http://schemas.openxmlformats.org/officeDocument/2006/customXml" ds:itemID="{e3b63d84-860c-4e67-877d-c85f8a7aea18}">
  <ds:schemaRefs/>
</ds:datastoreItem>
</file>

<file path=customXml/itemProps23.xml><?xml version="1.0" encoding="utf-8"?>
<ds:datastoreItem xmlns:ds="http://schemas.openxmlformats.org/officeDocument/2006/customXml" ds:itemID="{d567cd18-7266-4e36-b4a6-cb29eef5ccd4}">
  <ds:schemaRefs/>
</ds:datastoreItem>
</file>

<file path=customXml/itemProps24.xml><?xml version="1.0" encoding="utf-8"?>
<ds:datastoreItem xmlns:ds="http://schemas.openxmlformats.org/officeDocument/2006/customXml" ds:itemID="{5cdd9706-5ae2-42f4-92c7-c724419d64bb}">
  <ds:schemaRefs/>
</ds:datastoreItem>
</file>

<file path=customXml/itemProps25.xml><?xml version="1.0" encoding="utf-8"?>
<ds:datastoreItem xmlns:ds="http://schemas.openxmlformats.org/officeDocument/2006/customXml" ds:itemID="{e9f71351-cc3a-4e2f-9304-31ec8d26a0ec}">
  <ds:schemaRefs/>
</ds:datastoreItem>
</file>

<file path=customXml/itemProps26.xml><?xml version="1.0" encoding="utf-8"?>
<ds:datastoreItem xmlns:ds="http://schemas.openxmlformats.org/officeDocument/2006/customXml" ds:itemID="{7c6646df-56b8-4171-b889-2e9117cdad8a}">
  <ds:schemaRefs/>
</ds:datastoreItem>
</file>

<file path=customXml/itemProps27.xml><?xml version="1.0" encoding="utf-8"?>
<ds:datastoreItem xmlns:ds="http://schemas.openxmlformats.org/officeDocument/2006/customXml" ds:itemID="{7cb602c2-2ff6-4f9a-aa40-b337c410f78e}">
  <ds:schemaRefs/>
</ds:datastoreItem>
</file>

<file path=customXml/itemProps28.xml><?xml version="1.0" encoding="utf-8"?>
<ds:datastoreItem xmlns:ds="http://schemas.openxmlformats.org/officeDocument/2006/customXml" ds:itemID="{227ec8ca-3c02-494b-9de7-fd9a617e3a8c}">
  <ds:schemaRefs/>
</ds:datastoreItem>
</file>

<file path=customXml/itemProps29.xml><?xml version="1.0" encoding="utf-8"?>
<ds:datastoreItem xmlns:ds="http://schemas.openxmlformats.org/officeDocument/2006/customXml" ds:itemID="{1310fc75-8d63-41c6-b80c-263fb0e5be89}">
  <ds:schemaRefs/>
</ds:datastoreItem>
</file>

<file path=customXml/itemProps3.xml><?xml version="1.0" encoding="utf-8"?>
<ds:datastoreItem xmlns:ds="http://schemas.openxmlformats.org/officeDocument/2006/customXml" ds:itemID="{3506111a-2e2e-4835-a697-4b4a4a0fc698}">
  <ds:schemaRefs/>
</ds:datastoreItem>
</file>

<file path=customXml/itemProps30.xml><?xml version="1.0" encoding="utf-8"?>
<ds:datastoreItem xmlns:ds="http://schemas.openxmlformats.org/officeDocument/2006/customXml" ds:itemID="{bac0cc64-1205-4640-aa9c-4dd26bdd5619}">
  <ds:schemaRefs/>
</ds:datastoreItem>
</file>

<file path=customXml/itemProps31.xml><?xml version="1.0" encoding="utf-8"?>
<ds:datastoreItem xmlns:ds="http://schemas.openxmlformats.org/officeDocument/2006/customXml" ds:itemID="{250924c6-24be-43e8-8c3a-08915173ead8}">
  <ds:schemaRefs/>
</ds:datastoreItem>
</file>

<file path=customXml/itemProps4.xml><?xml version="1.0" encoding="utf-8"?>
<ds:datastoreItem xmlns:ds="http://schemas.openxmlformats.org/officeDocument/2006/customXml" ds:itemID="{4a98e770-3e3c-4615-a870-90123bb36ae3}">
  <ds:schemaRefs/>
</ds:datastoreItem>
</file>

<file path=customXml/itemProps5.xml><?xml version="1.0" encoding="utf-8"?>
<ds:datastoreItem xmlns:ds="http://schemas.openxmlformats.org/officeDocument/2006/customXml" ds:itemID="{e7ce28d6-593b-4392-a807-fd8ddf841aeb}">
  <ds:schemaRefs/>
</ds:datastoreItem>
</file>

<file path=customXml/itemProps6.xml><?xml version="1.0" encoding="utf-8"?>
<ds:datastoreItem xmlns:ds="http://schemas.openxmlformats.org/officeDocument/2006/customXml" ds:itemID="{af4d02d8-3421-41cb-b827-a0412557facb}">
  <ds:schemaRefs/>
</ds:datastoreItem>
</file>

<file path=customXml/itemProps7.xml><?xml version="1.0" encoding="utf-8"?>
<ds:datastoreItem xmlns:ds="http://schemas.openxmlformats.org/officeDocument/2006/customXml" ds:itemID="{da147ce0-771d-4d2b-bbc5-6fbf00a7d9df}">
  <ds:schemaRefs/>
</ds:datastoreItem>
</file>

<file path=customXml/itemProps8.xml><?xml version="1.0" encoding="utf-8"?>
<ds:datastoreItem xmlns:ds="http://schemas.openxmlformats.org/officeDocument/2006/customXml" ds:itemID="{13fda715-7a37-4412-8279-e4c807f1577e}">
  <ds:schemaRefs/>
</ds:datastoreItem>
</file>

<file path=customXml/itemProps9.xml><?xml version="1.0" encoding="utf-8"?>
<ds:datastoreItem xmlns:ds="http://schemas.openxmlformats.org/officeDocument/2006/customXml" ds:itemID="{b74c9b11-8f50-4c82-a5b5-da3dc7afe289}">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ScaleCrop>false</ScaleCrop>
  <LinksUpToDate>false</LinksUpToDate>
  <CharactersWithSpaces>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2022-06-22T15:01:00Z</dcterms:created>
  <dc:creator>Administrator</dc:creator>
  <cp:lastModifiedBy>Administrator</cp:lastModifiedBy>
  <dcterms:modified xsi:type="dcterms:W3CDTF">2023-08-03T07:56:33Z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