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</w:rPr>
        <w:t>长安区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工商联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2021年度整体支出绩效自评报告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市委市政府《关于全面落实预算绩效管理的实施意见》（石发﹝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区工商联部门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长安区工商联是长安区委区政府面向工商界，以非公有制企业和非公有制经济人士为主体的人民团体和商会组织、是党和政府联系非公有制经济人士的桥梁纽带，是政府管理和服务非公有制经济的助手。工商联工作是中国共产党统一战线工作和经济工作的重要内容。</w:t>
      </w:r>
    </w:p>
    <w:p>
      <w:pPr>
        <w:ind w:firstLine="643" w:firstLineChars="200"/>
        <w:jc w:val="left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2.部门机构设置情况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4"/>
        <w:tblW w:w="8597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1"/>
        <w:gridCol w:w="1207"/>
        <w:gridCol w:w="1177"/>
        <w:gridCol w:w="350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7" w:hRule="atLeast"/>
          <w:tblHeader/>
          <w:jc w:val="center"/>
        </w:trPr>
        <w:tc>
          <w:tcPr>
            <w:tcW w:w="271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单位名称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单位性质</w:t>
            </w:r>
          </w:p>
        </w:tc>
        <w:tc>
          <w:tcPr>
            <w:tcW w:w="117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单位规格</w:t>
            </w:r>
          </w:p>
        </w:tc>
        <w:tc>
          <w:tcPr>
            <w:tcW w:w="3502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6" w:hRule="atLeast"/>
          <w:jc w:val="center"/>
        </w:trPr>
        <w:tc>
          <w:tcPr>
            <w:tcW w:w="271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长安区</w:t>
            </w: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工商联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本级</w:t>
            </w:r>
          </w:p>
        </w:tc>
        <w:tc>
          <w:tcPr>
            <w:tcW w:w="120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</w:t>
            </w:r>
          </w:p>
        </w:tc>
        <w:tc>
          <w:tcPr>
            <w:tcW w:w="117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3502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财政拨款</w:t>
            </w:r>
          </w:p>
        </w:tc>
      </w:tr>
    </w:tbl>
    <w:p>
      <w:pPr>
        <w:snapToGrid w:val="0"/>
        <w:spacing w:line="520" w:lineRule="exact"/>
        <w:ind w:firstLine="643" w:firstLineChars="200"/>
        <w:rPr>
          <w:rFonts w:ascii="仿宋_GB2312" w:hAnsi="仿宋" w:eastAsia="仿宋_GB2312"/>
          <w:b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3．人员情况</w:t>
      </w:r>
    </w:p>
    <w:p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在职人员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：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4人</w:t>
      </w:r>
      <w:r>
        <w:rPr>
          <w:rFonts w:hint="eastAsia" w:ascii="仿宋_GB2312" w:hAnsi="仿宋" w:eastAsia="仿宋_GB2312"/>
          <w:sz w:val="32"/>
          <w:szCs w:val="32"/>
        </w:rPr>
        <w:t>（正科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2人</w:t>
      </w:r>
      <w:r>
        <w:rPr>
          <w:rFonts w:hint="eastAsia" w:ascii="仿宋_GB2312" w:hAnsi="仿宋" w:eastAsia="仿宋_GB2312"/>
          <w:sz w:val="32"/>
          <w:szCs w:val="32"/>
        </w:rPr>
        <w:t>、副科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2人</w:t>
      </w:r>
      <w:r>
        <w:rPr>
          <w:rFonts w:hint="eastAsia" w:ascii="仿宋_GB2312" w:hAnsi="仿宋" w:eastAsia="仿宋_GB2312"/>
          <w:sz w:val="32"/>
          <w:szCs w:val="32"/>
        </w:rPr>
        <w:t>）</w:t>
      </w:r>
    </w:p>
    <w:p>
      <w:pPr>
        <w:snapToGrid w:val="0"/>
        <w:spacing w:line="520" w:lineRule="exact"/>
        <w:ind w:firstLine="640" w:firstLineChars="200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退休人员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：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3人</w:t>
      </w:r>
    </w:p>
    <w:p>
      <w:pPr>
        <w:adjustRightInd w:val="0"/>
        <w:snapToGrid w:val="0"/>
        <w:spacing w:line="560" w:lineRule="exact"/>
        <w:ind w:firstLine="630" w:firstLineChars="196"/>
        <w:rPr>
          <w:rFonts w:ascii="仿宋_GB2312" w:hAnsi="仿宋" w:eastAsia="仿宋_GB2312"/>
          <w:b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4.资产情况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" w:eastAsia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长安区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工商联</w:t>
      </w:r>
      <w:r>
        <w:rPr>
          <w:rFonts w:hint="eastAsia" w:ascii="仿宋_GB2312" w:hAnsi="仿宋" w:eastAsia="仿宋_GB2312"/>
          <w:sz w:val="32"/>
          <w:szCs w:val="32"/>
        </w:rPr>
        <w:t>2021年末固定资产金额为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2.28</w:t>
      </w:r>
      <w:r>
        <w:rPr>
          <w:rFonts w:hint="eastAsia" w:ascii="仿宋_GB2312" w:hAnsi="仿宋" w:eastAsia="仿宋_GB2312"/>
          <w:sz w:val="32"/>
          <w:szCs w:val="32"/>
        </w:rPr>
        <w:t>万元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（二）部门收支预决算情况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长安区工商联</w:t>
      </w:r>
      <w:r>
        <w:rPr>
          <w:rFonts w:hint="eastAsia" w:ascii="仿宋" w:hAnsi="仿宋" w:eastAsia="仿宋" w:cs="仿宋"/>
          <w:sz w:val="32"/>
          <w:szCs w:val="32"/>
        </w:rPr>
        <w:t>2021年收入预算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87.77</w:t>
      </w:r>
      <w:r>
        <w:rPr>
          <w:rFonts w:hint="eastAsia" w:ascii="仿宋" w:hAnsi="仿宋" w:eastAsia="仿宋" w:cs="仿宋"/>
          <w:sz w:val="32"/>
          <w:szCs w:val="32"/>
        </w:rPr>
        <w:t>万元，比去年增加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14.21</w:t>
      </w:r>
      <w:r>
        <w:rPr>
          <w:rFonts w:hint="eastAsia" w:ascii="仿宋" w:hAnsi="仿宋" w:eastAsia="仿宋" w:cs="仿宋"/>
          <w:sz w:val="32"/>
          <w:szCs w:val="32"/>
        </w:rPr>
        <w:t>万元，财政拨款收入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87.77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;</w:t>
      </w:r>
      <w:r>
        <w:rPr>
          <w:rFonts w:hint="eastAsia" w:ascii="仿宋" w:hAnsi="仿宋" w:eastAsia="仿宋" w:cs="仿宋"/>
          <w:sz w:val="32"/>
          <w:szCs w:val="32"/>
        </w:rPr>
        <w:t>一般公共服务支出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85.77</w:t>
      </w:r>
      <w:r>
        <w:rPr>
          <w:rFonts w:hint="eastAsia" w:ascii="仿宋" w:hAnsi="仿宋" w:eastAsia="仿宋" w:cs="仿宋"/>
          <w:sz w:val="32"/>
          <w:szCs w:val="32"/>
        </w:rPr>
        <w:t>万元，社会保障和就业支出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8.60</w:t>
      </w:r>
      <w:r>
        <w:rPr>
          <w:rFonts w:hint="eastAsia" w:ascii="仿宋" w:hAnsi="仿宋" w:eastAsia="仿宋" w:cs="仿宋"/>
          <w:sz w:val="32"/>
          <w:szCs w:val="32"/>
        </w:rPr>
        <w:t>万元，医疗卫生与计划生育支出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4.99</w:t>
      </w:r>
      <w:r>
        <w:rPr>
          <w:rFonts w:hint="eastAsia" w:ascii="仿宋" w:hAnsi="仿宋" w:eastAsia="仿宋" w:cs="仿宋"/>
          <w:sz w:val="32"/>
          <w:szCs w:val="32"/>
        </w:rPr>
        <w:t>万元，住房保障支出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6.21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widowControl/>
        <w:rPr>
          <w:rFonts w:hint="eastAsia" w:ascii="仿宋_GB2312" w:hAnsi="黑体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 xml:space="preserve">  </w:t>
      </w:r>
      <w:r>
        <w:rPr>
          <w:rFonts w:hint="eastAsia" w:ascii="仿宋_GB2312" w:hAnsi="黑体" w:eastAsia="仿宋_GB2312"/>
          <w:b/>
          <w:sz w:val="32"/>
          <w:szCs w:val="32"/>
        </w:rPr>
        <w:t xml:space="preserve"> </w:t>
      </w: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长安区工商联</w:t>
      </w:r>
      <w:r>
        <w:rPr>
          <w:rFonts w:hint="eastAsia" w:ascii="仿宋" w:hAnsi="仿宋" w:eastAsia="仿宋" w:cs="仿宋"/>
          <w:sz w:val="32"/>
          <w:szCs w:val="32"/>
        </w:rPr>
        <w:t>2021年支出预算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87.77</w:t>
      </w:r>
      <w:r>
        <w:rPr>
          <w:rFonts w:hint="eastAsia" w:ascii="仿宋" w:hAnsi="仿宋" w:eastAsia="仿宋" w:cs="仿宋"/>
          <w:sz w:val="32"/>
          <w:szCs w:val="32"/>
        </w:rPr>
        <w:t>万元，比去年增加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14.21</w:t>
      </w:r>
      <w:r>
        <w:rPr>
          <w:rFonts w:hint="eastAsia" w:ascii="仿宋" w:hAnsi="仿宋" w:eastAsia="仿宋" w:cs="仿宋"/>
          <w:sz w:val="32"/>
          <w:szCs w:val="32"/>
        </w:rPr>
        <w:t>万元，其中：基本支出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85.77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,</w:t>
      </w:r>
      <w:r>
        <w:rPr>
          <w:rFonts w:hint="eastAsia" w:ascii="仿宋" w:hAnsi="仿宋" w:eastAsia="仿宋" w:cs="仿宋"/>
          <w:sz w:val="32"/>
          <w:szCs w:val="32"/>
        </w:rPr>
        <w:t>公用经费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7.45</w:t>
      </w:r>
      <w:r>
        <w:rPr>
          <w:rFonts w:hint="eastAsia" w:ascii="仿宋" w:hAnsi="仿宋" w:eastAsia="仿宋" w:cs="仿宋"/>
          <w:sz w:val="32"/>
          <w:szCs w:val="32"/>
        </w:rPr>
        <w:t>万元，主要包括：区工商联七届会员代表大会、培训教育费、调研费、加强同国内外工商界的联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系。</w:t>
      </w:r>
    </w:p>
    <w:p>
      <w:pPr>
        <w:widowControl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 xml:space="preserve"> </w:t>
      </w:r>
      <w:r>
        <w:rPr>
          <w:rFonts w:hint="eastAsia" w:ascii="宋体" w:hAnsi="宋体" w:cs="宋体"/>
          <w:color w:val="00000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2021年预算收支安排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87.77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万元，较2020年预算增加1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4.21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</w:rPr>
        <w:t>上升1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6.2</w:t>
      </w:r>
      <w:r>
        <w:rPr>
          <w:rFonts w:hint="eastAsia" w:ascii="仿宋" w:hAnsi="仿宋" w:eastAsia="仿宋" w:cs="仿宋"/>
          <w:sz w:val="32"/>
          <w:szCs w:val="32"/>
        </w:rPr>
        <w:t>%。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其中：基本支出增加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14.21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万元，主要是2021年增加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1名正科级实职领导干部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，正常人员经费增加。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（三）部门整体支出绩效目标、指标</w:t>
      </w:r>
    </w:p>
    <w:p>
      <w:pPr>
        <w:spacing w:line="500" w:lineRule="exact"/>
        <w:ind w:firstLine="640" w:firstLineChars="200"/>
        <w:jc w:val="left"/>
        <w:rPr>
          <w:rFonts w:hint="eastAsia" w:ascii="华文仿宋" w:hAnsi="华文仿宋" w:eastAsia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/>
          <w:sz w:val="32"/>
          <w:szCs w:val="32"/>
        </w:rPr>
        <w:t>（一）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工商联换届大会、培训教育费、加强同国内外工商界联系、调研费</w:t>
      </w:r>
    </w:p>
    <w:p>
      <w:pPr>
        <w:spacing w:line="500" w:lineRule="exact"/>
        <w:ind w:firstLine="640" w:firstLineChars="200"/>
        <w:jc w:val="left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绩效目标：让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长安区民营企业家</w:t>
      </w:r>
      <w:r>
        <w:rPr>
          <w:rFonts w:ascii="华文仿宋" w:hAnsi="华文仿宋" w:eastAsia="华文仿宋"/>
          <w:sz w:val="32"/>
          <w:szCs w:val="32"/>
        </w:rPr>
        <w:t>切实感受到党和政府关心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，为长安区经济发展作贡献</w:t>
      </w:r>
      <w:r>
        <w:rPr>
          <w:rFonts w:ascii="华文仿宋" w:hAnsi="华文仿宋" w:eastAsia="华文仿宋"/>
          <w:sz w:val="32"/>
          <w:szCs w:val="32"/>
        </w:rPr>
        <w:t>。</w:t>
      </w:r>
    </w:p>
    <w:p>
      <w:pPr>
        <w:spacing w:line="500" w:lineRule="exact"/>
        <w:ind w:firstLine="640" w:firstLineChars="200"/>
        <w:jc w:val="left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绩效指标：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民营企业家</w:t>
      </w:r>
      <w:r>
        <w:rPr>
          <w:rFonts w:ascii="华文仿宋" w:hAnsi="华文仿宋" w:eastAsia="华文仿宋"/>
          <w:sz w:val="32"/>
          <w:szCs w:val="32"/>
        </w:rPr>
        <w:t>满意率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ind w:firstLine="627" w:firstLineChars="196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自评的组织工作</w:t>
      </w:r>
    </w:p>
    <w:p>
      <w:pPr>
        <w:spacing w:line="560" w:lineRule="exact"/>
        <w:ind w:firstLine="66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站在落实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长安区经济发展</w:t>
      </w:r>
      <w:r>
        <w:rPr>
          <w:rFonts w:hint="eastAsia" w:ascii="华文仿宋" w:hAnsi="华文仿宋" w:eastAsia="华文仿宋"/>
          <w:sz w:val="32"/>
          <w:szCs w:val="32"/>
        </w:rPr>
        <w:t>的高度，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为民营经济的发展建言献策，营造良好的营商环境</w:t>
      </w:r>
      <w:r>
        <w:rPr>
          <w:rFonts w:hint="eastAsia" w:ascii="华文仿宋" w:hAnsi="华文仿宋" w:eastAsia="华文仿宋"/>
          <w:sz w:val="32"/>
          <w:szCs w:val="32"/>
        </w:rPr>
        <w:t>，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为民营经济发展保驾护航，</w:t>
      </w:r>
      <w:r>
        <w:rPr>
          <w:rFonts w:hint="eastAsia" w:ascii="华文仿宋" w:hAnsi="华文仿宋" w:eastAsia="华文仿宋"/>
          <w:sz w:val="32"/>
          <w:szCs w:val="32"/>
        </w:rPr>
        <w:t>认真组织实施。成立领导小组，大力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促进民营经济发展</w:t>
      </w:r>
      <w:r>
        <w:rPr>
          <w:rFonts w:hint="eastAsia" w:ascii="华文仿宋" w:hAnsi="华文仿宋" w:eastAsia="华文仿宋"/>
          <w:sz w:val="32"/>
          <w:szCs w:val="32"/>
        </w:rPr>
        <w:t>。</w:t>
      </w:r>
    </w:p>
    <w:p>
      <w:pPr>
        <w:spacing w:line="560" w:lineRule="exact"/>
        <w:ind w:firstLine="66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spacing w:line="560" w:lineRule="exact"/>
        <w:ind w:firstLine="640" w:firstLineChars="200"/>
        <w:rPr>
          <w:rFonts w:ascii="华文仿宋" w:hAnsi="华文仿宋" w:eastAsia="华文仿宋" w:cs="楷体_GB2312"/>
          <w:bCs/>
          <w:sz w:val="32"/>
          <w:szCs w:val="32"/>
        </w:rPr>
      </w:pPr>
      <w:r>
        <w:rPr>
          <w:rFonts w:hint="eastAsia" w:ascii="华文仿宋" w:hAnsi="华文仿宋" w:eastAsia="华文仿宋" w:cs="楷体_GB2312"/>
          <w:bCs/>
          <w:sz w:val="32"/>
          <w:szCs w:val="32"/>
        </w:rPr>
        <w:t>（一）项目投入</w:t>
      </w:r>
    </w:p>
    <w:p>
      <w:pPr>
        <w:ind w:firstLine="960" w:firstLineChars="300"/>
        <w:rPr>
          <w:rFonts w:ascii="华文仿宋" w:hAnsi="华文仿宋" w:eastAsia="华文仿宋"/>
        </w:rPr>
      </w:pPr>
      <w:r>
        <w:rPr>
          <w:rFonts w:hint="eastAsia" w:ascii="华文仿宋" w:hAnsi="华文仿宋" w:eastAsia="华文仿宋"/>
          <w:sz w:val="32"/>
          <w:szCs w:val="32"/>
        </w:rPr>
        <w:t>1.项目立项情况分析。根据通知精神，我们对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我区民营企业家</w:t>
      </w:r>
      <w:r>
        <w:rPr>
          <w:rFonts w:hint="eastAsia" w:ascii="华文仿宋" w:hAnsi="华文仿宋" w:eastAsia="华文仿宋"/>
          <w:sz w:val="32"/>
          <w:szCs w:val="32"/>
        </w:rPr>
        <w:t>的情况进行了认真梳理，坚持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深入调研，走访慰问把党和政府的政策精神带到企业中去</w:t>
      </w:r>
      <w:r>
        <w:rPr>
          <w:rFonts w:hint="eastAsia" w:ascii="华文仿宋" w:hAnsi="华文仿宋" w:eastAsia="华文仿宋"/>
          <w:sz w:val="32"/>
          <w:szCs w:val="32"/>
        </w:rPr>
        <w:t>。</w:t>
      </w:r>
    </w:p>
    <w:p>
      <w:pPr>
        <w:ind w:firstLine="960" w:firstLineChars="300"/>
        <w:rPr>
          <w:rFonts w:ascii="华文仿宋" w:hAnsi="华文仿宋" w:eastAsia="华文仿宋"/>
        </w:rPr>
      </w:pPr>
      <w:r>
        <w:rPr>
          <w:rFonts w:hint="eastAsia" w:ascii="华文仿宋" w:hAnsi="华文仿宋" w:eastAsia="华文仿宋"/>
          <w:sz w:val="32"/>
          <w:szCs w:val="32"/>
        </w:rPr>
        <w:t>2.资金落实情况分析。摸清底数，资金到位后展开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展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工商联换届大会、培训教育费、加强同国内外工商界联系、调研等</w:t>
      </w:r>
      <w:r>
        <w:rPr>
          <w:rFonts w:hint="eastAsia" w:ascii="华文仿宋" w:hAnsi="华文仿宋" w:eastAsia="华文仿宋" w:cs="Arial Unicode MS"/>
          <w:bCs/>
          <w:sz w:val="32"/>
          <w:szCs w:val="32"/>
        </w:rPr>
        <w:t>项目</w:t>
      </w:r>
      <w:r>
        <w:rPr>
          <w:rFonts w:hint="eastAsia" w:ascii="华文仿宋" w:hAnsi="华文仿宋" w:eastAsia="华文仿宋"/>
          <w:sz w:val="32"/>
          <w:szCs w:val="32"/>
        </w:rPr>
        <w:t>活动。</w:t>
      </w:r>
    </w:p>
    <w:p>
      <w:pPr>
        <w:spacing w:line="560" w:lineRule="exact"/>
        <w:ind w:firstLine="640" w:firstLineChars="200"/>
        <w:rPr>
          <w:rFonts w:ascii="华文仿宋" w:hAnsi="华文仿宋" w:eastAsia="华文仿宋" w:cs="楷体_GB2312"/>
          <w:bCs/>
          <w:sz w:val="32"/>
          <w:szCs w:val="32"/>
        </w:rPr>
      </w:pPr>
      <w:r>
        <w:rPr>
          <w:rFonts w:hint="eastAsia" w:ascii="华文仿宋" w:hAnsi="华文仿宋" w:eastAsia="华文仿宋" w:cs="楷体_GB2312"/>
          <w:bCs/>
          <w:sz w:val="32"/>
          <w:szCs w:val="32"/>
        </w:rPr>
        <w:t>（二）项目实施过程</w:t>
      </w:r>
    </w:p>
    <w:p>
      <w:pPr>
        <w:ind w:firstLine="960" w:firstLineChars="300"/>
        <w:rPr>
          <w:rFonts w:ascii="华文仿宋" w:hAnsi="华文仿宋" w:eastAsia="华文仿宋" w:cs="Arial Unicode MS"/>
          <w:sz w:val="32"/>
          <w:szCs w:val="32"/>
        </w:rPr>
      </w:pPr>
      <w:r>
        <w:rPr>
          <w:rFonts w:hint="eastAsia" w:ascii="华文仿宋" w:hAnsi="华文仿宋" w:eastAsia="华文仿宋" w:cs="Arial Unicode MS"/>
          <w:sz w:val="32"/>
          <w:szCs w:val="32"/>
        </w:rPr>
        <w:t>1、加强财务管理，严格按照要求使用资金，做好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工商联换届大会、培训教育费、加强同国内外工商界联系、调研，做到</w:t>
      </w:r>
      <w:r>
        <w:rPr>
          <w:rFonts w:hint="eastAsia" w:ascii="华文仿宋" w:hAnsi="华文仿宋" w:eastAsia="华文仿宋" w:cs="Arial Unicode MS"/>
          <w:sz w:val="32"/>
          <w:szCs w:val="32"/>
        </w:rPr>
        <w:t>签</w:t>
      </w:r>
      <w:r>
        <w:rPr>
          <w:rFonts w:hint="eastAsia" w:ascii="华文仿宋" w:hAnsi="华文仿宋" w:eastAsia="华文仿宋" w:cs="Arial Unicode MS"/>
          <w:sz w:val="32"/>
          <w:szCs w:val="32"/>
          <w:lang w:eastAsia="zh-CN"/>
        </w:rPr>
        <w:t>到</w:t>
      </w:r>
      <w:r>
        <w:rPr>
          <w:rFonts w:hint="eastAsia" w:ascii="华文仿宋" w:hAnsi="华文仿宋" w:eastAsia="华文仿宋" w:cs="Arial Unicode MS"/>
          <w:sz w:val="32"/>
          <w:szCs w:val="32"/>
        </w:rPr>
        <w:t>表、信息、图片等资料留档。</w:t>
      </w:r>
    </w:p>
    <w:p>
      <w:pPr>
        <w:spacing w:line="500" w:lineRule="exact"/>
        <w:ind w:firstLine="640" w:firstLineChars="200"/>
        <w:jc w:val="left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华文仿宋" w:hAnsi="华文仿宋" w:eastAsia="华文仿宋" w:cs="Arial Unicode MS"/>
          <w:sz w:val="32"/>
          <w:szCs w:val="32"/>
        </w:rPr>
        <w:t>2、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工商联换届大会、培训教育费、加强同国内外工商界联系、调研费</w:t>
      </w:r>
      <w:r>
        <w:rPr>
          <w:rFonts w:hint="eastAsia" w:ascii="华文仿宋" w:hAnsi="华文仿宋" w:eastAsia="华文仿宋" w:cs="Arial Unicode MS"/>
          <w:bCs/>
          <w:sz w:val="32"/>
          <w:szCs w:val="32"/>
        </w:rPr>
        <w:t>项目已经完成。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1"/>
        </w:numPr>
        <w:wordWrap/>
        <w:spacing w:line="560" w:lineRule="exact"/>
        <w:ind w:left="-13" w:leftChars="0" w:right="0" w:firstLine="643" w:firstLineChars="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spacing w:line="560" w:lineRule="exact"/>
        <w:ind w:firstLine="640" w:firstLineChars="200"/>
        <w:rPr>
          <w:rFonts w:ascii="华文仿宋" w:hAnsi="华文仿宋" w:eastAsia="华文仿宋" w:cs="Arial Unicode MS"/>
          <w:bCs/>
          <w:sz w:val="32"/>
          <w:szCs w:val="32"/>
        </w:rPr>
      </w:pPr>
      <w:r>
        <w:rPr>
          <w:rFonts w:hint="eastAsia" w:ascii="华文仿宋" w:hAnsi="华文仿宋" w:eastAsia="华文仿宋" w:cs="Arial Unicode MS"/>
          <w:bCs/>
          <w:sz w:val="32"/>
          <w:szCs w:val="32"/>
          <w:lang w:val="en-US" w:eastAsia="zh-CN"/>
        </w:rPr>
        <w:t xml:space="preserve"> 区工商联作为政府联系非公经济的桥梁和纽带，按照工商联章程要求，每五年召开一次工商联换届大会，会议增选新一届工商联领导班子成员，通过走访调研，选出有影响力民营企业家，拥护中国共产党的领导，有爱心有带动力的新一代民营企业家，增强民营企业家凝聚力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</w:p>
    <w:tbl>
      <w:tblPr>
        <w:tblStyle w:val="4"/>
        <w:tblpPr w:leftFromText="180" w:rightFromText="180" w:vertAnchor="text" w:horzAnchor="page" w:tblpX="1799" w:tblpY="694"/>
        <w:tblOverlap w:val="never"/>
        <w:tblW w:w="880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60"/>
        <w:gridCol w:w="1060"/>
        <w:gridCol w:w="1057"/>
        <w:gridCol w:w="1220"/>
        <w:gridCol w:w="823"/>
        <w:gridCol w:w="1454"/>
        <w:gridCol w:w="1061"/>
        <w:gridCol w:w="106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8801" w:type="dxa"/>
            <w:gridSpan w:val="8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石家庄市长安区区级部门整体绩效监控情况表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10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区工商联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22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106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部门单位名称</w:t>
            </w:r>
          </w:p>
        </w:tc>
        <w:tc>
          <w:tcPr>
            <w:tcW w:w="22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eastAsia="zh-CN"/>
              </w:rPr>
              <w:t>区工商联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监控时点</w:t>
            </w:r>
          </w:p>
        </w:tc>
        <w:tc>
          <w:tcPr>
            <w:tcW w:w="35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第一季度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1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5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2</w:t>
            </w:r>
          </w:p>
        </w:tc>
        <w:tc>
          <w:tcPr>
            <w:tcW w:w="10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0</w:t>
            </w: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0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  <w:t>0</w:t>
            </w: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3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33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33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工商联换届大会、培训教育费</w:t>
            </w: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加强同国内外工商界联系、调研费</w:t>
            </w:r>
          </w:p>
        </w:tc>
        <w:tc>
          <w:tcPr>
            <w:tcW w:w="3338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活动已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圆满完成</w:t>
            </w: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活动已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圆满完成</w:t>
            </w:r>
          </w:p>
        </w:tc>
        <w:tc>
          <w:tcPr>
            <w:tcW w:w="10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.00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33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3338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33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3338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1" w:hRule="atLeast"/>
        </w:trPr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指标完成值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指标完成率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计划完成量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 100 每五年召开一次换届大会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已完成换届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2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实际完成数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 100按照计划要求完成换届工作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按计划完成换届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按时完成项目数量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 100按照计划要求完成换届工作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按计划完成换届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完成率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 100按照计划要求完成换届工作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按计划完成换届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长期使用性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 100 增强民营企业经济的社会影响力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增强民营企业凝聚力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专项资金投入产出效益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 100 按照计划要求完成换届工作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增强民营企业社会凝聚力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社会影响力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 100 增强民营企业经济的社会影响力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按计划完成换届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服务对象满意度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 100 群众满意数量占总数的比例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民营企业满意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8" w:hRule="atLeast"/>
        </w:trPr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绩效目标执行出现的偏差和采取的措施</w:t>
            </w:r>
          </w:p>
        </w:tc>
        <w:tc>
          <w:tcPr>
            <w:tcW w:w="77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执行未出现偏差</w:t>
            </w:r>
          </w:p>
        </w:tc>
      </w:tr>
    </w:tbl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textAlignment w:val="center"/>
        <w:rPr>
          <w:rFonts w:hint="eastAsia"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根据项目执行情况和项目绩效情况，此次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工商联换届大会、培训教育费加强同国内外工商界联系、调研等</w:t>
      </w:r>
      <w:r>
        <w:rPr>
          <w:rFonts w:hint="eastAsia" w:ascii="华文仿宋" w:hAnsi="华文仿宋" w:eastAsia="华文仿宋"/>
          <w:sz w:val="32"/>
          <w:szCs w:val="32"/>
        </w:rPr>
        <w:t>，受助人员满意度100%,项目综合绩效评价得分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100</w:t>
      </w:r>
      <w:r>
        <w:rPr>
          <w:rFonts w:hint="eastAsia" w:ascii="华文仿宋" w:hAnsi="华文仿宋" w:eastAsia="华文仿宋"/>
          <w:sz w:val="32"/>
          <w:szCs w:val="32"/>
        </w:rPr>
        <w:t>分。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widowControl/>
        <w:tabs>
          <w:tab w:val="left" w:pos="298"/>
        </w:tabs>
        <w:spacing w:line="480" w:lineRule="auto"/>
        <w:ind w:firstLine="640" w:firstLineChars="200"/>
        <w:jc w:val="left"/>
        <w:rPr>
          <w:rFonts w:ascii="仿宋" w:hAnsi="仿宋" w:eastAsia="仿宋" w:cs="仿宋_GB2312"/>
          <w:bCs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编制预算绩效目标量化指标的设定有待加强，自评结果应用不充分，佐证材料有待进一步完善。在今后的工作中，我单位将严格按照</w:t>
      </w:r>
      <w:r>
        <w:rPr>
          <w:rFonts w:hint="eastAsia" w:ascii="仿宋" w:hAnsi="仿宋" w:eastAsia="仿宋" w:cs="仿宋_GB2312"/>
          <w:bCs/>
          <w:sz w:val="32"/>
          <w:szCs w:val="32"/>
          <w:lang w:eastAsia="zh-CN"/>
        </w:rPr>
        <w:t>《中华人民共和国预算法》</w:t>
      </w:r>
      <w:r>
        <w:rPr>
          <w:rFonts w:hint="eastAsia" w:ascii="仿宋" w:hAnsi="仿宋" w:eastAsia="仿宋" w:cs="仿宋_GB2312"/>
          <w:bCs/>
          <w:sz w:val="32"/>
          <w:szCs w:val="32"/>
        </w:rPr>
        <w:t>的要求，针对存在的问题，大力加强预算绩效监督管理力度，加快资金支付进度，重视绩效考核管理，认真做好绩效目标管理工作。</w:t>
      </w:r>
    </w:p>
    <w:p>
      <w:pPr>
        <w:spacing w:line="560" w:lineRule="exact"/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强化对资金绩效实现情况的责任约束，采取有效措施严格把控专项资金预算绩效目标的支出，进一步规范专项资金使用绩效。</w:t>
      </w:r>
    </w:p>
    <w:p>
      <w:pPr>
        <w:ind w:firstLine="640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二是加强财政资金使用效益跟踪“回头看”，及时预控、查找资金使用和管理过程中的薄弱环节，对本年度沉淀的结余资金给予及时缴回，加快预算内资金支付进度，确保后续绩效目标的有效实现提供有力支撑。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adjustRightInd w:val="0"/>
        <w:spacing w:line="700" w:lineRule="exact"/>
        <w:ind w:firstLine="640" w:firstLineChars="200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</w:rPr>
        <w:t>组长：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侯英杰</w:t>
      </w:r>
      <w:r>
        <w:rPr>
          <w:rFonts w:hint="eastAsia" w:ascii="仿宋_GB2312" w:hAnsi="宋体" w:eastAsia="仿宋_GB2312"/>
          <w:sz w:val="32"/>
          <w:szCs w:val="32"/>
        </w:rPr>
        <w:t xml:space="preserve"> </w:t>
      </w:r>
      <w:r>
        <w:rPr>
          <w:rFonts w:ascii="仿宋_GB2312" w:hAnsi="宋体" w:eastAsia="仿宋_GB2312"/>
          <w:sz w:val="32"/>
          <w:szCs w:val="32"/>
        </w:rPr>
        <w:t xml:space="preserve"> </w:t>
      </w:r>
      <w:r>
        <w:rPr>
          <w:rFonts w:hint="eastAsia" w:ascii="仿宋_GB2312" w:hAnsi="宋体" w:eastAsia="仿宋_GB2312"/>
          <w:sz w:val="32"/>
          <w:szCs w:val="32"/>
        </w:rPr>
        <w:t>长安区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工商联党组书记</w:t>
      </w:r>
    </w:p>
    <w:p>
      <w:pPr>
        <w:adjustRightInd w:val="0"/>
        <w:spacing w:line="700" w:lineRule="exact"/>
        <w:ind w:firstLine="640" w:firstLineChars="200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</w:rPr>
        <w:t>组员：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李学会</w:t>
      </w:r>
      <w:r>
        <w:rPr>
          <w:rFonts w:hint="eastAsia" w:ascii="仿宋_GB2312" w:hAnsi="宋体" w:eastAsia="仿宋_GB2312"/>
          <w:sz w:val="32"/>
          <w:szCs w:val="32"/>
        </w:rPr>
        <w:t xml:space="preserve"> </w:t>
      </w:r>
      <w:r>
        <w:rPr>
          <w:rFonts w:ascii="仿宋_GB2312" w:hAnsi="宋体" w:eastAsia="仿宋_GB2312"/>
          <w:sz w:val="32"/>
          <w:szCs w:val="32"/>
        </w:rPr>
        <w:t xml:space="preserve"> </w:t>
      </w:r>
      <w:r>
        <w:rPr>
          <w:rFonts w:hint="eastAsia" w:ascii="仿宋_GB2312" w:hAnsi="宋体" w:eastAsia="仿宋_GB2312"/>
          <w:sz w:val="32"/>
          <w:szCs w:val="32"/>
        </w:rPr>
        <w:t>长安区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工商联主席</w:t>
      </w:r>
    </w:p>
    <w:p>
      <w:pPr>
        <w:adjustRightInd w:val="0"/>
        <w:spacing w:line="700" w:lineRule="exact"/>
        <w:ind w:firstLine="1600" w:firstLineChars="500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杜贵拾</w:t>
      </w:r>
      <w:r>
        <w:rPr>
          <w:rFonts w:hint="eastAsia" w:ascii="仿宋_GB2312" w:hAnsi="宋体" w:eastAsia="仿宋_GB2312"/>
          <w:sz w:val="32"/>
          <w:szCs w:val="32"/>
        </w:rPr>
        <w:t xml:space="preserve"> </w:t>
      </w:r>
      <w:r>
        <w:rPr>
          <w:rFonts w:ascii="仿宋_GB2312" w:hAnsi="宋体" w:eastAsia="仿宋_GB2312"/>
          <w:sz w:val="32"/>
          <w:szCs w:val="32"/>
        </w:rPr>
        <w:t xml:space="preserve"> </w:t>
      </w:r>
      <w:r>
        <w:rPr>
          <w:rFonts w:hint="eastAsia" w:ascii="仿宋_GB2312" w:hAnsi="宋体" w:eastAsia="仿宋_GB2312"/>
          <w:sz w:val="32"/>
          <w:szCs w:val="32"/>
        </w:rPr>
        <w:t>长安区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工商联副主席</w:t>
      </w:r>
    </w:p>
    <w:p>
      <w:pPr>
        <w:spacing w:line="560" w:lineRule="exact"/>
        <w:ind w:firstLine="1600" w:firstLineChars="500"/>
        <w:rPr>
          <w:rFonts w:hint="eastAsia" w:ascii="仿宋" w:hAnsi="仿宋" w:eastAsia="仿宋_GB231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赵闯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</w:t>
      </w:r>
      <w:r>
        <w:rPr>
          <w:rFonts w:ascii="仿宋_GB2312" w:hAnsi="宋体" w:eastAsia="仿宋_GB2312"/>
          <w:sz w:val="32"/>
          <w:szCs w:val="32"/>
        </w:rPr>
        <w:t xml:space="preserve"> </w:t>
      </w:r>
      <w:r>
        <w:rPr>
          <w:rFonts w:hint="eastAsia" w:ascii="仿宋_GB2312" w:hAnsi="宋体" w:eastAsia="仿宋_GB2312"/>
          <w:sz w:val="32"/>
          <w:szCs w:val="32"/>
        </w:rPr>
        <w:t xml:space="preserve"> 长安区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工商联三级主任科员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-1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GQwMTcxMTU2MDMzNmYyMzQ0ZWU0YWEwNDg4ZWM5NGMifQ=="/>
  </w:docVars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4A2134"/>
    <w:rsid w:val="11B71E6A"/>
    <w:rsid w:val="1AAF0063"/>
    <w:rsid w:val="1BE140DE"/>
    <w:rsid w:val="1EA20DA8"/>
    <w:rsid w:val="248C197D"/>
    <w:rsid w:val="252959AF"/>
    <w:rsid w:val="277A6671"/>
    <w:rsid w:val="292D35B7"/>
    <w:rsid w:val="31741A60"/>
    <w:rsid w:val="33EB6CFF"/>
    <w:rsid w:val="35A12947"/>
    <w:rsid w:val="37387040"/>
    <w:rsid w:val="3B625C0A"/>
    <w:rsid w:val="3CEE1963"/>
    <w:rsid w:val="405F6D34"/>
    <w:rsid w:val="43E3005C"/>
    <w:rsid w:val="4A882D51"/>
    <w:rsid w:val="4C9C27FE"/>
    <w:rsid w:val="4DA50B74"/>
    <w:rsid w:val="512260B4"/>
    <w:rsid w:val="52BD6ACB"/>
    <w:rsid w:val="55537534"/>
    <w:rsid w:val="561A74F1"/>
    <w:rsid w:val="597244E8"/>
    <w:rsid w:val="5EB71C30"/>
    <w:rsid w:val="66AF0CE5"/>
    <w:rsid w:val="672706E0"/>
    <w:rsid w:val="6AC537CF"/>
    <w:rsid w:val="6E5B14A6"/>
    <w:rsid w:val="711B255E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unhideWhenUsed/>
    <w:qFormat/>
    <w:uiPriority w:val="1"/>
  </w:style>
  <w:style w:type="table" w:default="1" w:styleId="4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2268</Words>
  <Characters>2440</Characters>
  <Lines>7</Lines>
  <Paragraphs>2</Paragraphs>
  <TotalTime>10</TotalTime>
  <ScaleCrop>false</ScaleCrop>
  <LinksUpToDate>false</LinksUpToDate>
  <CharactersWithSpaces>2487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阳</cp:lastModifiedBy>
  <cp:lastPrinted>2022-01-19T07:24:00Z</cp:lastPrinted>
  <dcterms:modified xsi:type="dcterms:W3CDTF">2024-01-20T14:01:29Z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3BB6563DDF9F4C3DBA2F64F2566507CA</vt:lpwstr>
  </property>
</Properties>
</file>