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7790C9">
      <w:pPr>
        <w:widowControl w:val="0"/>
        <w:wordWrap/>
        <w:adjustRightInd w:val="0"/>
        <w:snapToGrid w:val="0"/>
        <w:spacing w:line="560" w:lineRule="exact"/>
        <w:ind w:left="0" w:leftChars="0" w:right="0"/>
        <w:textAlignment w:val="auto"/>
        <w:outlineLvl w:val="9"/>
        <w:rPr>
          <w:rFonts w:ascii="仿宋_GB2312" w:eastAsia="仿宋_GB2312"/>
          <w:sz w:val="32"/>
          <w:szCs w:val="32"/>
        </w:rPr>
      </w:pPr>
      <w:bookmarkStart w:id="0" w:name="_GoBack"/>
      <w:bookmarkEnd w:id="0"/>
      <w:r>
        <w:rPr>
          <w:rFonts w:hint="eastAsia" w:ascii="仿宋_GB2312" w:eastAsia="仿宋_GB2312"/>
          <w:sz w:val="32"/>
          <w:szCs w:val="32"/>
        </w:rPr>
        <w:t>附件</w:t>
      </w:r>
      <w:r>
        <w:rPr>
          <w:rFonts w:hint="eastAsia" w:ascii="仿宋_GB2312" w:eastAsia="仿宋_GB2312"/>
          <w:sz w:val="32"/>
          <w:szCs w:val="32"/>
          <w:lang w:val="en-US" w:eastAsia="zh-CN"/>
        </w:rPr>
        <w:t>4</w:t>
      </w:r>
    </w:p>
    <w:p w14:paraId="5086C732">
      <w:pPr>
        <w:widowControl w:val="0"/>
        <w:wordWrap/>
        <w:spacing w:line="560" w:lineRule="exact"/>
        <w:ind w:left="0" w:leftChars="0" w:right="0"/>
        <w:jc w:val="center"/>
        <w:textAlignment w:val="auto"/>
        <w:outlineLvl w:val="9"/>
        <w:rPr>
          <w:rFonts w:hint="eastAsia" w:ascii="宋体" w:hAnsi="宋体" w:cs="宋体"/>
          <w:b/>
          <w:bCs/>
          <w:sz w:val="44"/>
          <w:szCs w:val="44"/>
        </w:rPr>
      </w:pPr>
    </w:p>
    <w:p w14:paraId="7852B5BF">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kern w:val="0"/>
          <w:sz w:val="44"/>
          <w:szCs w:val="44"/>
          <w:lang w:val="en-US" w:eastAsia="zh-CN"/>
        </w:rPr>
        <w:t xml:space="preserve">  </w:t>
      </w:r>
      <w:r>
        <w:rPr>
          <w:rFonts w:hint="eastAsia" w:ascii="宋体" w:hAnsi="宋体" w:cs="宋体"/>
          <w:b/>
          <w:bCs/>
          <w:kern w:val="0"/>
          <w:sz w:val="44"/>
          <w:szCs w:val="44"/>
          <w:lang w:eastAsia="zh-CN"/>
        </w:rPr>
        <w:t>长安区卫生监督所</w:t>
      </w:r>
      <w:r>
        <w:rPr>
          <w:rFonts w:hint="eastAsia" w:ascii="宋体" w:hAnsi="宋体" w:cs="宋体"/>
          <w:b/>
          <w:bCs/>
          <w:sz w:val="44"/>
          <w:szCs w:val="44"/>
          <w:lang w:val="en-US" w:eastAsia="zh-CN"/>
        </w:rPr>
        <w:t>2021年度整体支出绩效</w:t>
      </w:r>
      <w:r>
        <w:rPr>
          <w:rFonts w:hint="eastAsia" w:ascii="宋体" w:hAnsi="宋体" w:cs="宋体"/>
          <w:b/>
          <w:bCs/>
          <w:sz w:val="44"/>
          <w:szCs w:val="44"/>
        </w:rPr>
        <w:t>自评报告</w:t>
      </w:r>
    </w:p>
    <w:p w14:paraId="31DBBE2C">
      <w:pPr>
        <w:widowControl w:val="0"/>
        <w:wordWrap/>
        <w:spacing w:line="560" w:lineRule="exact"/>
        <w:ind w:left="0" w:leftChars="0" w:right="0"/>
        <w:jc w:val="center"/>
        <w:textAlignment w:val="auto"/>
        <w:outlineLvl w:val="9"/>
        <w:rPr>
          <w:rFonts w:ascii="华文楷体" w:eastAsia="华文楷体"/>
          <w:sz w:val="32"/>
          <w:szCs w:val="32"/>
        </w:rPr>
      </w:pPr>
    </w:p>
    <w:p w14:paraId="685D6631">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卫生监督所</w:t>
      </w:r>
      <w:r>
        <w:rPr>
          <w:rFonts w:hint="eastAsia" w:ascii="仿宋" w:hAnsi="仿宋" w:eastAsia="仿宋"/>
          <w:sz w:val="32"/>
          <w:szCs w:val="32"/>
          <w:lang w:val="en-US" w:eastAsia="zh-CN"/>
        </w:rPr>
        <w:t>2021年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14:paraId="1AEDF8FD">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14:paraId="63657FBC">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14:paraId="0B48FF22">
      <w:pPr>
        <w:pStyle w:val="6"/>
        <w:numPr>
          <w:ilvl w:val="0"/>
          <w:numId w:val="1"/>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Chars="0"/>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卫生监督工作。</w:t>
      </w:r>
    </w:p>
    <w:p w14:paraId="33106B1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 w:hAnsi="仿宋" w:eastAsia="仿宋" w:cs="仿宋_GB2312"/>
          <w:sz w:val="32"/>
          <w:szCs w:val="32"/>
        </w:rPr>
      </w:pPr>
      <w:r>
        <w:rPr>
          <w:rFonts w:hint="eastAsia" w:ascii="仿宋_GB2312" w:hAnsi="仿宋_GB2312" w:eastAsia="仿宋_GB2312"/>
          <w:sz w:val="32"/>
        </w:rPr>
        <w:t xml:space="preserve">      </w:t>
      </w:r>
      <w:r>
        <w:rPr>
          <w:rFonts w:hint="eastAsia" w:ascii="仿宋" w:hAnsi="仿宋" w:eastAsia="仿宋" w:cs="仿宋_GB2312"/>
          <w:sz w:val="32"/>
          <w:szCs w:val="32"/>
        </w:rPr>
        <w:t>对医疗机构的空气、物体表面、医护人员手、消毒液的细菌总数，以及致病菌、高压灭菌效果、消毒液浓度及紫外线灯管的检测。负责辖区范围内的公共场所、生活饮用水、放射等卫生许可申请的受理、验收、审批。建立卫生应急库，储备应急物资，进行突发公共卫生事件应急处置及应急演练。确定建设规模，充分考虑节地、节能、节水、环保和可持续发展，做到规模适度、功能适用、装备适宜、经济合理。业务用房建设以改扩建为主，严格控制新建尤其是迁建项目。</w:t>
      </w:r>
    </w:p>
    <w:p w14:paraId="7A72751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hint="eastAsia" w:ascii="仿宋" w:hAnsi="仿宋" w:eastAsia="仿宋" w:cs="仿宋_GB2312"/>
          <w:bCs/>
          <w:sz w:val="32"/>
          <w:szCs w:val="32"/>
        </w:rPr>
      </w:pPr>
      <w:r>
        <w:rPr>
          <w:rFonts w:ascii="仿宋_GB2312" w:hAnsi="仿宋_GB2312" w:eastAsia="仿宋_GB2312"/>
          <w:sz w:val="32"/>
        </w:rPr>
        <w:t>（二）</w:t>
      </w:r>
      <w:r>
        <w:rPr>
          <w:rFonts w:hint="eastAsia" w:ascii="仿宋_GB2312" w:hAnsi="仿宋_GB2312" w:eastAsia="仿宋_GB2312"/>
          <w:sz w:val="32"/>
        </w:rPr>
        <w:t>卫</w:t>
      </w:r>
      <w:r>
        <w:rPr>
          <w:rFonts w:hint="eastAsia" w:ascii="仿宋" w:hAnsi="仿宋" w:eastAsia="仿宋" w:cs="仿宋_GB2312"/>
          <w:bCs/>
          <w:sz w:val="32"/>
          <w:szCs w:val="32"/>
        </w:rPr>
        <w:t>生应急工作。突发公共卫生事件应急物资储备及应急演练工作。</w:t>
      </w:r>
    </w:p>
    <w:p w14:paraId="02F0ABF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hint="eastAsia" w:ascii="仿宋" w:hAnsi="仿宋" w:eastAsia="仿宋" w:cs="仿宋_GB2312"/>
          <w:bCs/>
          <w:sz w:val="32"/>
          <w:szCs w:val="32"/>
        </w:rPr>
      </w:pPr>
      <w:r>
        <w:rPr>
          <w:rFonts w:ascii="仿宋_GB2312" w:hAnsi="仿宋_GB2312" w:eastAsia="仿宋_GB2312"/>
          <w:sz w:val="32"/>
        </w:rPr>
        <w:t>（三）</w:t>
      </w:r>
      <w:r>
        <w:rPr>
          <w:rFonts w:hint="eastAsia" w:ascii="仿宋" w:hAnsi="仿宋" w:eastAsia="仿宋" w:cs="仿宋_GB2312"/>
          <w:bCs/>
          <w:sz w:val="32"/>
          <w:szCs w:val="32"/>
        </w:rPr>
        <w:t>卫生监督机构标准化建设。符合所在地区城市总体规划和区域卫生规划的要求，遵守国家有关经济建设的法律、法规，本着合理、适用、经济的原则建设各类用房及配置设备，避免重复建设。</w:t>
      </w:r>
    </w:p>
    <w:p w14:paraId="60EDF91F">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640" w:firstLineChars="200"/>
        <w:jc w:val="both"/>
        <w:textAlignment w:val="auto"/>
        <w:rPr>
          <w:rFonts w:hint="default" w:ascii="仿宋_GB2312" w:hAnsi="仿宋" w:eastAsia="仿宋_GB2312"/>
          <w:sz w:val="32"/>
          <w:szCs w:val="32"/>
          <w:lang w:val="en-US"/>
        </w:rPr>
      </w:pPr>
      <w:r>
        <w:rPr>
          <w:rFonts w:hint="eastAsia" w:ascii="仿宋_GB2312" w:hAnsi="仿宋_GB2312" w:eastAsia="仿宋_GB2312" w:cs="仿宋_GB2312"/>
          <w:kern w:val="2"/>
          <w:sz w:val="32"/>
          <w:szCs w:val="32"/>
          <w:lang w:val="en-US" w:eastAsia="zh-CN"/>
        </w:rPr>
        <w:t>2021</w:t>
      </w:r>
      <w:r>
        <w:rPr>
          <w:rFonts w:hint="eastAsia" w:ascii="仿宋_GB2312" w:hAnsi="仿宋_GB2312" w:eastAsia="仿宋_GB2312" w:cs="仿宋_GB2312"/>
          <w:kern w:val="2"/>
          <w:sz w:val="32"/>
          <w:szCs w:val="32"/>
        </w:rPr>
        <w:t>年度，纳入本部门决算汇编范围的独立核算单位（以下简称“单位”）共</w:t>
      </w:r>
      <w:r>
        <w:rPr>
          <w:rFonts w:hint="eastAsia" w:ascii="仿宋_GB2312" w:hAnsi="仿宋_GB2312" w:eastAsia="仿宋_GB2312" w:cs="仿宋_GB2312"/>
          <w:kern w:val="2"/>
          <w:sz w:val="32"/>
          <w:szCs w:val="32"/>
          <w:lang w:val="en-US" w:eastAsia="zh-CN"/>
        </w:rPr>
        <w:t>1</w:t>
      </w:r>
      <w:r>
        <w:rPr>
          <w:rFonts w:hint="eastAsia" w:ascii="仿宋_GB2312" w:hAnsi="仿宋_GB2312" w:eastAsia="仿宋_GB2312" w:cs="仿宋_GB2312"/>
          <w:kern w:val="2"/>
          <w:sz w:val="32"/>
          <w:szCs w:val="32"/>
        </w:rPr>
        <w:t>个，单位基本性质为</w:t>
      </w:r>
      <w:r>
        <w:rPr>
          <w:rFonts w:hint="eastAsia" w:ascii="仿宋_GB2312" w:hAnsi="仿宋_GB2312" w:eastAsia="仿宋_GB2312" w:cs="仿宋_GB2312"/>
          <w:kern w:val="2"/>
          <w:sz w:val="32"/>
          <w:szCs w:val="32"/>
          <w:lang w:eastAsia="zh-CN"/>
        </w:rPr>
        <w:t>全额拨款事业单位</w:t>
      </w:r>
      <w:r>
        <w:rPr>
          <w:rFonts w:hint="eastAsia" w:ascii="仿宋_GB2312" w:hAnsi="仿宋_GB2312" w:eastAsia="仿宋_GB2312" w:cs="仿宋_GB2312"/>
          <w:kern w:val="2"/>
          <w:sz w:val="32"/>
          <w:szCs w:val="32"/>
        </w:rPr>
        <w:t>，预算管理级次为</w:t>
      </w:r>
      <w:r>
        <w:rPr>
          <w:rFonts w:hint="eastAsia" w:ascii="仿宋_GB2312" w:hAnsi="仿宋_GB2312" w:eastAsia="仿宋_GB2312" w:cs="仿宋_GB2312"/>
          <w:kern w:val="2"/>
          <w:sz w:val="32"/>
          <w:szCs w:val="32"/>
          <w:lang w:eastAsia="zh-CN"/>
        </w:rPr>
        <w:t>区</w:t>
      </w:r>
      <w:r>
        <w:rPr>
          <w:rFonts w:hint="eastAsia" w:ascii="仿宋_GB2312" w:hAnsi="仿宋_GB2312" w:eastAsia="仿宋_GB2312" w:cs="仿宋_GB2312"/>
          <w:kern w:val="2"/>
          <w:sz w:val="32"/>
          <w:szCs w:val="32"/>
        </w:rPr>
        <w:t>级预算单位，执行</w:t>
      </w:r>
      <w:r>
        <w:rPr>
          <w:rFonts w:hint="eastAsia" w:ascii="仿宋_GB2312" w:hAnsi="仿宋_GB2312" w:eastAsia="仿宋_GB2312" w:cs="仿宋_GB2312"/>
          <w:kern w:val="2"/>
          <w:sz w:val="32"/>
          <w:szCs w:val="32"/>
          <w:lang w:eastAsia="zh-CN"/>
        </w:rPr>
        <w:t>事业</w:t>
      </w:r>
      <w:r>
        <w:rPr>
          <w:rFonts w:hint="eastAsia" w:ascii="仿宋_GB2312" w:hAnsi="仿宋_GB2312" w:eastAsia="仿宋_GB2312" w:cs="仿宋_GB2312"/>
          <w:kern w:val="2"/>
          <w:sz w:val="32"/>
          <w:szCs w:val="32"/>
        </w:rPr>
        <w:t>单位会计制度，较上年无增减变化。长安区</w:t>
      </w:r>
      <w:r>
        <w:rPr>
          <w:rFonts w:hint="eastAsia" w:ascii="仿宋_GB2312" w:hAnsi="仿宋_GB2312" w:eastAsia="仿宋_GB2312" w:cs="仿宋_GB2312"/>
          <w:kern w:val="2"/>
          <w:sz w:val="32"/>
          <w:szCs w:val="32"/>
          <w:lang w:eastAsia="zh-CN"/>
        </w:rPr>
        <w:t>卫生监督所</w:t>
      </w:r>
      <w:r>
        <w:rPr>
          <w:rFonts w:hint="eastAsia" w:ascii="仿宋_GB2312" w:hAnsi="仿宋_GB2312" w:eastAsia="仿宋_GB2312" w:cs="仿宋_GB2312"/>
          <w:kern w:val="2"/>
          <w:sz w:val="32"/>
          <w:szCs w:val="32"/>
        </w:rPr>
        <w:t>为独立核算财政补助事业单位,上级主管部门长安区</w:t>
      </w:r>
      <w:r>
        <w:rPr>
          <w:rFonts w:hint="eastAsia" w:ascii="仿宋_GB2312" w:hAnsi="仿宋_GB2312" w:eastAsia="仿宋_GB2312" w:cs="仿宋_GB2312"/>
          <w:kern w:val="2"/>
          <w:sz w:val="32"/>
          <w:szCs w:val="32"/>
          <w:lang w:eastAsia="zh-CN"/>
        </w:rPr>
        <w:t>卫生健康局</w:t>
      </w:r>
      <w:r>
        <w:rPr>
          <w:rFonts w:hint="eastAsia" w:ascii="仿宋_GB2312" w:hAnsi="仿宋_GB2312" w:eastAsia="仿宋_GB2312" w:cs="仿宋_GB2312"/>
          <w:kern w:val="2"/>
          <w:sz w:val="32"/>
          <w:szCs w:val="32"/>
        </w:rPr>
        <w:t>。20</w:t>
      </w:r>
      <w:r>
        <w:rPr>
          <w:rFonts w:hint="eastAsia" w:ascii="仿宋_GB2312" w:hAnsi="仿宋_GB2312" w:eastAsia="仿宋_GB2312" w:cs="仿宋_GB2312"/>
          <w:kern w:val="2"/>
          <w:sz w:val="32"/>
          <w:szCs w:val="32"/>
          <w:lang w:val="en-US" w:eastAsia="zh-CN"/>
        </w:rPr>
        <w:t>21</w:t>
      </w:r>
      <w:r>
        <w:rPr>
          <w:rFonts w:hint="eastAsia" w:ascii="仿宋_GB2312" w:hAnsi="仿宋_GB2312" w:eastAsia="仿宋_GB2312" w:cs="仿宋_GB2312"/>
          <w:kern w:val="2"/>
          <w:sz w:val="32"/>
          <w:szCs w:val="32"/>
        </w:rPr>
        <w:t>年度，</w:t>
      </w:r>
      <w:r>
        <w:rPr>
          <w:rFonts w:hint="eastAsia" w:ascii="仿宋_GB2312" w:hAnsi="仿宋_GB2312" w:eastAsia="仿宋_GB2312" w:cs="仿宋_GB2312"/>
          <w:kern w:val="2"/>
          <w:sz w:val="32"/>
          <w:szCs w:val="32"/>
          <w:lang w:eastAsia="zh-CN"/>
        </w:rPr>
        <w:t>事业单位编制</w:t>
      </w:r>
      <w:r>
        <w:rPr>
          <w:rFonts w:hint="eastAsia" w:ascii="仿宋_GB2312" w:hAnsi="仿宋_GB2312" w:eastAsia="仿宋_GB2312" w:cs="仿宋_GB2312"/>
          <w:kern w:val="2"/>
          <w:sz w:val="32"/>
          <w:szCs w:val="32"/>
          <w:lang w:val="en-US" w:eastAsia="zh-CN"/>
        </w:rPr>
        <w:t>33人。退休人员去世1人。年末在职人员实有数21人，离休2人，退休14人。</w:t>
      </w:r>
    </w:p>
    <w:p w14:paraId="07469BE3">
      <w:pPr>
        <w:ind w:firstLine="640"/>
        <w:rPr>
          <w:rFonts w:hint="eastAsia" w:ascii="仿宋" w:hAnsi="仿宋" w:eastAsia="仿宋" w:cs="楷体_GB2312"/>
          <w:b/>
          <w:bCs/>
          <w:sz w:val="32"/>
          <w:szCs w:val="32"/>
          <w:lang w:eastAsia="zh-CN"/>
        </w:rPr>
      </w:pPr>
      <w:r>
        <w:rPr>
          <w:rFonts w:hint="eastAsia" w:ascii="仿宋" w:hAnsi="仿宋" w:eastAsia="仿宋" w:cs="楷体_GB2312"/>
          <w:b/>
          <w:bCs/>
          <w:sz w:val="32"/>
          <w:szCs w:val="32"/>
        </w:rPr>
        <w:t>（二）</w:t>
      </w:r>
      <w:r>
        <w:rPr>
          <w:rFonts w:hint="eastAsia" w:ascii="仿宋" w:hAnsi="仿宋" w:eastAsia="仿宋" w:cs="楷体_GB2312"/>
          <w:b/>
          <w:bCs/>
          <w:sz w:val="32"/>
          <w:szCs w:val="32"/>
          <w:lang w:eastAsia="zh-CN"/>
        </w:rPr>
        <w:t>部门收支预决算情况</w:t>
      </w:r>
    </w:p>
    <w:p w14:paraId="033FB689">
      <w:pPr>
        <w:pageBreakBefore w:val="0"/>
        <w:widowControl w:val="0"/>
        <w:kinsoku/>
        <w:wordWrap/>
        <w:overflowPunct/>
        <w:topLinePunct w:val="0"/>
        <w:autoSpaceDE/>
        <w:autoSpaceDN/>
        <w:bidi w:val="0"/>
        <w:spacing w:before="0" w:beforeLines="0" w:after="0" w:afterLines="0" w:line="600" w:lineRule="exact"/>
        <w:ind w:left="0" w:leftChars="0" w:right="0" w:rightChars="0" w:firstLine="640" w:firstLineChars="200"/>
        <w:jc w:val="both"/>
        <w:textAlignment w:val="auto"/>
        <w:rPr>
          <w:rFonts w:hint="eastAsia" w:ascii="仿宋_GB2312" w:hAnsi="仿宋_GB2312" w:eastAsia="仿宋_GB2312" w:cs="仿宋_GB2312"/>
          <w:kern w:val="2"/>
          <w:sz w:val="32"/>
          <w:szCs w:val="32"/>
          <w:lang w:val="en-US" w:eastAsia="zh-CN"/>
        </w:rPr>
      </w:pPr>
      <w:r>
        <w:rPr>
          <w:rFonts w:hint="eastAsia" w:ascii="仿宋_GB2312" w:eastAsia="仿宋_GB2312"/>
          <w:sz w:val="32"/>
          <w:szCs w:val="32"/>
        </w:rPr>
        <w:t>按照预算管理有关规定，我部门预算的编制实行综合预算制度，即全部收入和支出都反映在预算中。</w:t>
      </w:r>
      <w:r>
        <w:rPr>
          <w:rFonts w:hint="eastAsia" w:ascii="仿宋" w:hAnsi="仿宋" w:eastAsia="仿宋" w:cs="仿宋"/>
          <w:sz w:val="32"/>
          <w:szCs w:val="32"/>
        </w:rPr>
        <w:t>石家庄市长安区卫生监督所机关及所属事业单位的收支包含在部门预算中。</w:t>
      </w:r>
      <w:r>
        <w:rPr>
          <w:rFonts w:hint="eastAsia" w:ascii="仿宋_GB2312" w:hAnsi="仿宋_GB2312" w:eastAsia="仿宋_GB2312" w:cs="仿宋_GB2312"/>
          <w:kern w:val="2"/>
          <w:sz w:val="32"/>
          <w:szCs w:val="32"/>
          <w:lang w:val="en-US" w:eastAsia="zh-CN"/>
        </w:rPr>
        <w:t>2021年度部门收入预算安排406.33万元，比2020年增加15.75万元，增加4.03%；2021年支出预算安排406.33万元，比2020年增加15.75万元，增加4.03%。主要原因是人员工资增长。</w:t>
      </w:r>
    </w:p>
    <w:p w14:paraId="7DA4DBF3">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14:paraId="6E6DAD01">
      <w:pPr>
        <w:pStyle w:val="7"/>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left="640" w:firstLine="0" w:firstLineChars="0"/>
        <w:rPr>
          <w:rFonts w:hint="eastAsia" w:ascii="仿宋_GB2312" w:hAnsi="仿宋_GB2312" w:eastAsia="仿宋_GB2312" w:cs="仿宋_GB2312"/>
          <w:sz w:val="32"/>
          <w:szCs w:val="32"/>
        </w:rPr>
      </w:pPr>
      <w:r>
        <w:rPr>
          <w:rFonts w:hint="eastAsia" w:ascii="楷体_GB2312" w:hAnsi="黑体" w:eastAsia="楷体_GB2312"/>
          <w:bCs/>
          <w:sz w:val="32"/>
          <w:szCs w:val="32"/>
        </w:rPr>
        <w:t>（一）</w:t>
      </w:r>
      <w:r>
        <w:rPr>
          <w:rFonts w:hint="eastAsia" w:ascii="仿宋_GB2312" w:hAnsi="仿宋_GB2312" w:eastAsia="仿宋_GB2312" w:cs="仿宋_GB2312"/>
          <w:bCs/>
          <w:sz w:val="32"/>
          <w:szCs w:val="32"/>
        </w:rPr>
        <w:t>卫生监督工作。</w:t>
      </w:r>
    </w:p>
    <w:p w14:paraId="6481FF7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 w:hAnsi="仿宋" w:eastAsia="仿宋" w:cs="仿宋_GB2312"/>
          <w:sz w:val="32"/>
          <w:szCs w:val="32"/>
        </w:rPr>
      </w:pPr>
      <w:r>
        <w:rPr>
          <w:rFonts w:hint="eastAsia" w:ascii="仿宋_GB2312" w:hAnsi="仿宋_GB2312" w:eastAsia="仿宋_GB2312"/>
          <w:sz w:val="32"/>
        </w:rPr>
        <w:t xml:space="preserve">      </w:t>
      </w:r>
      <w:r>
        <w:rPr>
          <w:rFonts w:hint="eastAsia" w:ascii="仿宋" w:hAnsi="仿宋" w:eastAsia="仿宋" w:cs="仿宋_GB2312"/>
          <w:sz w:val="32"/>
          <w:szCs w:val="32"/>
        </w:rPr>
        <w:t xml:space="preserve">对医疗机构的空气、物体表面、医护人员手、消毒液的细菌总数，以及致病菌、高压灭菌效果、消毒液浓度及紫外线灯管的检测。检测率达到100%。负责辖区范围内的公共场所、生活饮用水、放射等卫生许可申请的受理、验收、审批、发证工作。合格率100%。建立卫生应急库，储备应急物资，进行突发公共卫生事件应急处置及应急演练。物资储备率达到100%。确定建设规模，充分考虑节地、节能、节水、环保和可持续发展，做到规模适度、功能适用、装备适宜、经济合理。业务用房建设以改扩建为主，严格控制新建尤其是迁建项目。合格率100% 。 </w:t>
      </w:r>
    </w:p>
    <w:p w14:paraId="23A64A1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 w:hAnsi="仿宋" w:eastAsia="仿宋" w:cs="仿宋_GB2312"/>
          <w:bCs/>
          <w:sz w:val="32"/>
          <w:szCs w:val="32"/>
        </w:rPr>
      </w:pPr>
      <w:r>
        <w:rPr>
          <w:rFonts w:hint="eastAsia" w:ascii="仿宋_GB2312" w:hAnsi="仿宋_GB2312" w:eastAsia="仿宋_GB2312"/>
          <w:sz w:val="32"/>
        </w:rPr>
        <w:t xml:space="preserve">    </w:t>
      </w:r>
      <w:r>
        <w:rPr>
          <w:rFonts w:ascii="仿宋_GB2312" w:hAnsi="仿宋_GB2312" w:eastAsia="仿宋_GB2312"/>
          <w:sz w:val="32"/>
        </w:rPr>
        <w:t>（二）</w:t>
      </w:r>
      <w:r>
        <w:rPr>
          <w:rFonts w:hint="eastAsia" w:ascii="仿宋_GB2312" w:hAnsi="仿宋_GB2312" w:eastAsia="仿宋_GB2312" w:cs="仿宋_GB2312"/>
          <w:bCs/>
          <w:sz w:val="32"/>
          <w:szCs w:val="32"/>
        </w:rPr>
        <w:t>卫生应急工作。</w:t>
      </w:r>
      <w:r>
        <w:rPr>
          <w:rFonts w:hint="eastAsia" w:ascii="仿宋" w:hAnsi="仿宋" w:eastAsia="仿宋" w:cs="仿宋_GB2312"/>
          <w:bCs/>
          <w:sz w:val="32"/>
          <w:szCs w:val="32"/>
        </w:rPr>
        <w:t>突发公共卫生事件应急物资储备及应急演练工作。</w:t>
      </w:r>
      <w:r>
        <w:rPr>
          <w:rFonts w:hint="eastAsia" w:ascii="仿宋" w:hAnsi="仿宋" w:eastAsia="仿宋" w:cs="仿宋_GB2312"/>
          <w:sz w:val="32"/>
          <w:szCs w:val="32"/>
        </w:rPr>
        <w:t>通过应急物资储备，提高突发公共卫生事件应急处置能力。</w:t>
      </w:r>
    </w:p>
    <w:p w14:paraId="3BD3F8C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 w:hAnsi="仿宋" w:eastAsia="仿宋" w:cs="仿宋_GB2312"/>
          <w:bCs/>
          <w:sz w:val="32"/>
          <w:szCs w:val="32"/>
        </w:rPr>
      </w:pPr>
      <w:r>
        <w:rPr>
          <w:rFonts w:hint="eastAsia" w:ascii="仿宋_GB2312" w:hAnsi="仿宋_GB2312" w:eastAsia="仿宋_GB2312" w:cs="仿宋_GB2312"/>
          <w:bCs/>
          <w:sz w:val="32"/>
          <w:szCs w:val="32"/>
        </w:rPr>
        <w:t xml:space="preserve">    （三）卫生监督机构标准化建设。</w:t>
      </w:r>
      <w:r>
        <w:rPr>
          <w:rFonts w:hint="eastAsia" w:ascii="仿宋" w:hAnsi="仿宋" w:eastAsia="仿宋" w:cs="仿宋_GB2312"/>
          <w:bCs/>
          <w:sz w:val="32"/>
          <w:szCs w:val="32"/>
        </w:rPr>
        <w:t>符合所在地区城市总体规划和区域卫生规划的要求，遵守国家有关经济建设的法律、法规，本着合理、适用、经济的原则建设各类用房及配置设备，避免重复建设。</w:t>
      </w:r>
      <w:r>
        <w:rPr>
          <w:rFonts w:hint="eastAsia" w:ascii="仿宋" w:hAnsi="仿宋" w:eastAsia="仿宋" w:cs="仿宋_GB2312"/>
          <w:sz w:val="32"/>
          <w:szCs w:val="32"/>
        </w:rPr>
        <w:t>通过加大政府投入、深化改革、加强管理等多种措施和手段，改善基础设施条件，全面加强卫生监督机构能力建设，提高各级监督机构的综合执法能力，进一步强化政府卫生监管、建立健全卫生监督体系。</w:t>
      </w:r>
    </w:p>
    <w:p w14:paraId="002C14D4">
      <w:pPr>
        <w:ind w:firstLine="640"/>
        <w:rPr>
          <w:rFonts w:ascii="仿宋_GB2312" w:eastAsia="仿宋_GB2312"/>
          <w:sz w:val="32"/>
          <w:szCs w:val="32"/>
        </w:rPr>
      </w:pPr>
      <w:r>
        <w:rPr>
          <w:rFonts w:hint="eastAsia" w:ascii="仿宋_GB2312" w:hAnsi="Tahoma" w:eastAsia="仿宋_GB2312" w:cs="Times New Roman"/>
          <w:kern w:val="0"/>
          <w:sz w:val="32"/>
          <w:szCs w:val="32"/>
        </w:rPr>
        <w:t>20</w:t>
      </w:r>
      <w:r>
        <w:rPr>
          <w:rFonts w:hint="eastAsia" w:ascii="仿宋_GB2312" w:hAnsi="Tahoma" w:eastAsia="仿宋_GB2312" w:cs="Times New Roman"/>
          <w:kern w:val="0"/>
          <w:sz w:val="32"/>
          <w:szCs w:val="32"/>
          <w:lang w:val="en-US" w:eastAsia="zh-CN"/>
        </w:rPr>
        <w:t>21</w:t>
      </w:r>
      <w:r>
        <w:rPr>
          <w:rFonts w:hint="eastAsia" w:ascii="仿宋_GB2312" w:hAnsi="Tahoma" w:eastAsia="仿宋_GB2312" w:cs="Times New Roman"/>
          <w:kern w:val="0"/>
          <w:sz w:val="32"/>
          <w:szCs w:val="32"/>
        </w:rPr>
        <w:t>年度我</w:t>
      </w:r>
      <w:r>
        <w:rPr>
          <w:rFonts w:hint="eastAsia" w:ascii="仿宋_GB2312" w:hAnsi="Tahoma" w:eastAsia="仿宋_GB2312" w:cs="Times New Roman"/>
          <w:kern w:val="0"/>
          <w:sz w:val="32"/>
          <w:szCs w:val="32"/>
          <w:lang w:eastAsia="zh-CN"/>
        </w:rPr>
        <w:t>所</w:t>
      </w:r>
      <w:r>
        <w:rPr>
          <w:rFonts w:hint="eastAsia" w:ascii="仿宋_GB2312" w:hAnsi="Tahoma" w:eastAsia="仿宋_GB2312" w:cs="Times New Roman"/>
          <w:kern w:val="0"/>
          <w:sz w:val="32"/>
          <w:szCs w:val="32"/>
        </w:rPr>
        <w:t>总预算安排数为</w:t>
      </w:r>
      <w:r>
        <w:rPr>
          <w:rFonts w:hint="eastAsia" w:ascii="仿宋_GB2312" w:hAnsi="Tahoma" w:eastAsia="仿宋_GB2312" w:cs="Times New Roman"/>
          <w:kern w:val="0"/>
          <w:sz w:val="32"/>
          <w:szCs w:val="32"/>
          <w:lang w:val="en-US" w:eastAsia="zh-CN"/>
        </w:rPr>
        <w:t>3</w:t>
      </w:r>
      <w:r>
        <w:rPr>
          <w:rFonts w:hint="eastAsia" w:ascii="仿宋_GB2312" w:hAnsi="Tahoma" w:eastAsia="仿宋_GB2312" w:cs="Times New Roman"/>
          <w:kern w:val="0"/>
          <w:sz w:val="32"/>
          <w:szCs w:val="32"/>
        </w:rPr>
        <w:t>万元，总预算支出数为</w:t>
      </w:r>
      <w:r>
        <w:rPr>
          <w:rFonts w:hint="eastAsia" w:ascii="仿宋_GB2312" w:hAnsi="Tahoma" w:eastAsia="仿宋_GB2312" w:cs="Times New Roman"/>
          <w:kern w:val="0"/>
          <w:sz w:val="32"/>
          <w:szCs w:val="32"/>
          <w:lang w:val="en-US" w:eastAsia="zh-CN"/>
        </w:rPr>
        <w:t>3</w:t>
      </w:r>
      <w:r>
        <w:rPr>
          <w:rFonts w:hint="eastAsia" w:ascii="仿宋_GB2312" w:hAnsi="Tahoma" w:eastAsia="仿宋_GB2312" w:cs="Times New Roman"/>
          <w:kern w:val="0"/>
          <w:sz w:val="32"/>
          <w:szCs w:val="32"/>
        </w:rPr>
        <w:t>万元，总预算执行率为</w:t>
      </w:r>
      <w:r>
        <w:rPr>
          <w:rFonts w:hint="eastAsia" w:ascii="仿宋_GB2312" w:hAnsi="Tahoma" w:eastAsia="仿宋_GB2312" w:cs="Times New Roman"/>
          <w:kern w:val="0"/>
          <w:sz w:val="32"/>
          <w:szCs w:val="32"/>
          <w:lang w:val="en-US" w:eastAsia="zh-CN"/>
        </w:rPr>
        <w:t>100</w:t>
      </w:r>
      <w:r>
        <w:rPr>
          <w:rFonts w:hint="eastAsia" w:ascii="仿宋_GB2312" w:hAnsi="Tahoma" w:eastAsia="仿宋_GB2312" w:cs="Times New Roman"/>
          <w:kern w:val="0"/>
          <w:sz w:val="32"/>
          <w:szCs w:val="32"/>
        </w:rPr>
        <w:t>%。严格预算执行率，提高资金使用效率，保障社会效益生态效益满意度指标</w:t>
      </w:r>
    </w:p>
    <w:p w14:paraId="230F7916">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48DFF10F">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14:paraId="760703F8">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主要包括部门绩效自评工作的组织情况、实施过程，部门预算安排及资金分配拨付，部门日常财务管理、专项监督检查及审计部门审查意见等情况。</w:t>
      </w:r>
    </w:p>
    <w:p w14:paraId="70C7C5C9">
      <w:pPr>
        <w:snapToGrid w:val="0"/>
        <w:spacing w:line="360" w:lineRule="auto"/>
        <w:ind w:firstLine="640" w:firstLineChars="200"/>
        <w:rPr>
          <w:rFonts w:ascii="仿宋_GB2312" w:hAnsi="Tahoma" w:eastAsia="仿宋_GB2312" w:cs="Times New Roman"/>
          <w:kern w:val="0"/>
          <w:sz w:val="32"/>
          <w:szCs w:val="32"/>
        </w:rPr>
      </w:pPr>
      <w:r>
        <w:rPr>
          <w:rFonts w:hint="eastAsia" w:ascii="仿宋_GB2312" w:hAnsi="Tahoma" w:eastAsia="仿宋_GB2312" w:cs="Times New Roman"/>
          <w:kern w:val="0"/>
          <w:sz w:val="32"/>
          <w:szCs w:val="32"/>
        </w:rPr>
        <w:t>我</w:t>
      </w:r>
      <w:r>
        <w:rPr>
          <w:rFonts w:hint="eastAsia" w:ascii="仿宋_GB2312" w:hAnsi="Tahoma" w:eastAsia="仿宋_GB2312" w:cs="Times New Roman"/>
          <w:kern w:val="0"/>
          <w:sz w:val="32"/>
          <w:szCs w:val="32"/>
          <w:lang w:eastAsia="zh-CN"/>
        </w:rPr>
        <w:t>所</w:t>
      </w:r>
      <w:r>
        <w:rPr>
          <w:rFonts w:hint="eastAsia" w:ascii="仿宋_GB2312" w:hAnsi="Tahoma" w:eastAsia="仿宋_GB2312" w:cs="Times New Roman"/>
          <w:kern w:val="0"/>
          <w:sz w:val="32"/>
          <w:szCs w:val="32"/>
        </w:rPr>
        <w:t>共</w:t>
      </w:r>
      <w:r>
        <w:rPr>
          <w:rFonts w:hint="eastAsia" w:ascii="仿宋_GB2312" w:hAnsi="Tahoma" w:eastAsia="仿宋_GB2312" w:cs="Times New Roman"/>
          <w:kern w:val="0"/>
          <w:sz w:val="32"/>
          <w:szCs w:val="32"/>
          <w:lang w:eastAsia="zh-CN"/>
        </w:rPr>
        <w:t>有两</w:t>
      </w:r>
      <w:r>
        <w:rPr>
          <w:rFonts w:hint="eastAsia" w:ascii="仿宋_GB2312" w:hAnsi="Tahoma" w:eastAsia="仿宋_GB2312" w:cs="Times New Roman"/>
          <w:kern w:val="0"/>
          <w:sz w:val="32"/>
          <w:szCs w:val="32"/>
        </w:rPr>
        <w:t>个预算项目，</w:t>
      </w:r>
      <w:r>
        <w:rPr>
          <w:rFonts w:hint="eastAsia" w:ascii="仿宋_GB2312" w:hAnsi="Tahoma" w:eastAsia="仿宋_GB2312" w:cs="Times New Roman"/>
          <w:kern w:val="0"/>
          <w:sz w:val="32"/>
          <w:szCs w:val="32"/>
          <w:lang w:eastAsia="zh-CN"/>
        </w:rPr>
        <w:t>包括应急演练、仪器校验</w:t>
      </w:r>
      <w:r>
        <w:rPr>
          <w:rFonts w:hint="eastAsia" w:ascii="仿宋_GB2312" w:hAnsi="Tahoma" w:eastAsia="仿宋_GB2312" w:cs="Times New Roman"/>
          <w:kern w:val="0"/>
          <w:sz w:val="32"/>
          <w:szCs w:val="32"/>
        </w:rPr>
        <w:t>等预算项目为专项</w:t>
      </w:r>
      <w:r>
        <w:rPr>
          <w:rFonts w:hint="eastAsia" w:ascii="仿宋_GB2312" w:hAnsi="Tahoma" w:eastAsia="仿宋_GB2312" w:cs="Times New Roman"/>
          <w:kern w:val="0"/>
          <w:sz w:val="32"/>
          <w:szCs w:val="32"/>
          <w:lang w:eastAsia="zh-CN"/>
        </w:rPr>
        <w:t>项目</w:t>
      </w:r>
      <w:r>
        <w:rPr>
          <w:rFonts w:hint="eastAsia" w:ascii="仿宋_GB2312" w:hAnsi="Tahoma" w:eastAsia="仿宋_GB2312" w:cs="Times New Roman"/>
          <w:kern w:val="0"/>
          <w:sz w:val="32"/>
          <w:szCs w:val="32"/>
        </w:rPr>
        <w:t>；</w:t>
      </w:r>
      <w:r>
        <w:rPr>
          <w:rFonts w:hint="eastAsia" w:ascii="仿宋_GB2312" w:hAnsi="Tahoma" w:eastAsia="仿宋_GB2312" w:cs="Times New Roman"/>
          <w:kern w:val="0"/>
          <w:sz w:val="32"/>
          <w:szCs w:val="32"/>
          <w:lang w:eastAsia="zh-CN"/>
        </w:rPr>
        <w:t>其中应急演练</w:t>
      </w:r>
      <w:r>
        <w:rPr>
          <w:rFonts w:hint="eastAsia" w:ascii="仿宋_GB2312" w:hAnsi="Tahoma" w:eastAsia="仿宋_GB2312" w:cs="Times New Roman"/>
          <w:kern w:val="0"/>
          <w:sz w:val="32"/>
          <w:szCs w:val="32"/>
        </w:rPr>
        <w:t>为重点预算项目。</w:t>
      </w:r>
    </w:p>
    <w:p w14:paraId="00C28541">
      <w:pPr>
        <w:snapToGrid w:val="0"/>
        <w:spacing w:line="360" w:lineRule="auto"/>
        <w:ind w:firstLine="640" w:firstLineChars="200"/>
        <w:rPr>
          <w:rFonts w:ascii="仿宋_GB2312" w:hAnsi="Tahoma" w:eastAsia="仿宋_GB2312" w:cs="Times New Roman"/>
          <w:kern w:val="0"/>
          <w:sz w:val="32"/>
          <w:szCs w:val="32"/>
        </w:rPr>
      </w:pPr>
      <w:r>
        <w:rPr>
          <w:rFonts w:hint="eastAsia" w:ascii="仿宋_GB2312" w:hAnsi="Tahoma" w:eastAsia="仿宋_GB2312" w:cs="Times New Roman"/>
          <w:kern w:val="0"/>
          <w:sz w:val="32"/>
          <w:szCs w:val="32"/>
        </w:rPr>
        <w:t>为更好开展20</w:t>
      </w:r>
      <w:r>
        <w:rPr>
          <w:rFonts w:hint="eastAsia" w:ascii="仿宋_GB2312" w:hAnsi="Tahoma" w:eastAsia="仿宋_GB2312" w:cs="Times New Roman"/>
          <w:kern w:val="0"/>
          <w:sz w:val="32"/>
          <w:szCs w:val="32"/>
          <w:lang w:val="en-US" w:eastAsia="zh-CN"/>
        </w:rPr>
        <w:t>21</w:t>
      </w:r>
      <w:r>
        <w:rPr>
          <w:rFonts w:hint="eastAsia" w:ascii="仿宋_GB2312" w:hAnsi="Tahoma" w:eastAsia="仿宋_GB2312" w:cs="Times New Roman"/>
          <w:kern w:val="0"/>
          <w:sz w:val="32"/>
          <w:szCs w:val="32"/>
        </w:rPr>
        <w:t>年度绩效自评工作，我</w:t>
      </w:r>
      <w:r>
        <w:rPr>
          <w:rFonts w:hint="eastAsia" w:ascii="仿宋_GB2312" w:hAnsi="Tahoma" w:eastAsia="仿宋_GB2312" w:cs="Times New Roman"/>
          <w:kern w:val="0"/>
          <w:sz w:val="32"/>
          <w:szCs w:val="32"/>
          <w:lang w:eastAsia="zh-CN"/>
        </w:rPr>
        <w:t>所</w:t>
      </w:r>
      <w:r>
        <w:rPr>
          <w:rFonts w:hint="eastAsia" w:ascii="仿宋_GB2312" w:hAnsi="Tahoma" w:eastAsia="仿宋_GB2312" w:cs="Times New Roman"/>
          <w:kern w:val="0"/>
          <w:sz w:val="32"/>
          <w:szCs w:val="32"/>
        </w:rPr>
        <w:t>专门成立了由领导班子成员、专职工作人员组成的自评工作组，由</w:t>
      </w:r>
      <w:r>
        <w:rPr>
          <w:rFonts w:hint="eastAsia" w:ascii="仿宋_GB2312" w:hAnsi="Tahoma" w:eastAsia="仿宋_GB2312" w:cs="Times New Roman"/>
          <w:kern w:val="0"/>
          <w:sz w:val="32"/>
          <w:szCs w:val="32"/>
          <w:lang w:eastAsia="zh-CN"/>
        </w:rPr>
        <w:t>所</w:t>
      </w:r>
      <w:r>
        <w:rPr>
          <w:rFonts w:hint="eastAsia" w:ascii="仿宋_GB2312" w:hAnsi="Tahoma" w:eastAsia="仿宋_GB2312" w:cs="Times New Roman"/>
          <w:kern w:val="0"/>
          <w:sz w:val="32"/>
          <w:szCs w:val="32"/>
        </w:rPr>
        <w:t>长任组长，两名副</w:t>
      </w:r>
      <w:r>
        <w:rPr>
          <w:rFonts w:hint="eastAsia" w:ascii="仿宋_GB2312" w:hAnsi="Tahoma" w:eastAsia="仿宋_GB2312" w:cs="Times New Roman"/>
          <w:kern w:val="0"/>
          <w:sz w:val="32"/>
          <w:szCs w:val="32"/>
          <w:lang w:eastAsia="zh-CN"/>
        </w:rPr>
        <w:t>所</w:t>
      </w:r>
      <w:r>
        <w:rPr>
          <w:rFonts w:hint="eastAsia" w:ascii="仿宋_GB2312" w:hAnsi="Tahoma" w:eastAsia="仿宋_GB2312" w:cs="Times New Roman"/>
          <w:kern w:val="0"/>
          <w:sz w:val="32"/>
          <w:szCs w:val="32"/>
        </w:rPr>
        <w:t>长任副组长，成员办公室主任及财务人员。</w:t>
      </w:r>
    </w:p>
    <w:p w14:paraId="1F40D5A2">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rPr>
        <w:t>自评的方法和过程</w:t>
      </w:r>
    </w:p>
    <w:p w14:paraId="44804331">
      <w:pPr>
        <w:widowControl w:val="0"/>
        <w:numPr>
          <w:ilvl w:val="0"/>
          <w:numId w:val="0"/>
        </w:numPr>
        <w:wordWrap/>
        <w:spacing w:line="560" w:lineRule="exact"/>
        <w:ind w:right="0" w:rightChars="0" w:firstLine="640" w:firstLineChars="200"/>
        <w:textAlignment w:val="auto"/>
        <w:outlineLvl w:val="9"/>
        <w:rPr>
          <w:rFonts w:hint="eastAsia" w:ascii="仿宋" w:hAnsi="仿宋" w:eastAsia="仿宋" w:cs="楷体_GB2312"/>
          <w:b/>
          <w:bCs/>
          <w:sz w:val="32"/>
          <w:szCs w:val="32"/>
          <w:lang w:val="en-US" w:eastAsia="zh-CN"/>
        </w:rPr>
      </w:pPr>
      <w:r>
        <w:rPr>
          <w:rFonts w:hint="eastAsia" w:ascii="仿宋_GB2312" w:hAnsi="Tahoma" w:eastAsia="仿宋_GB2312" w:cs="Times New Roman"/>
          <w:kern w:val="0"/>
          <w:sz w:val="32"/>
          <w:szCs w:val="32"/>
        </w:rPr>
        <w:t>组长负责统筹推进绩效自评工作，从整体上监督我局预算项目推进情况及财务状况；主管副</w:t>
      </w:r>
      <w:r>
        <w:rPr>
          <w:rFonts w:hint="eastAsia" w:ascii="仿宋_GB2312" w:hAnsi="Tahoma" w:eastAsia="仿宋_GB2312" w:cs="Times New Roman"/>
          <w:kern w:val="0"/>
          <w:sz w:val="32"/>
          <w:szCs w:val="32"/>
          <w:lang w:eastAsia="zh-CN"/>
        </w:rPr>
        <w:t>所</w:t>
      </w:r>
      <w:r>
        <w:rPr>
          <w:rFonts w:hint="eastAsia" w:ascii="仿宋_GB2312" w:hAnsi="Tahoma" w:eastAsia="仿宋_GB2312" w:cs="Times New Roman"/>
          <w:kern w:val="0"/>
          <w:sz w:val="32"/>
          <w:szCs w:val="32"/>
        </w:rPr>
        <w:t>长主要负责</w:t>
      </w:r>
      <w:r>
        <w:rPr>
          <w:rFonts w:hint="eastAsia" w:ascii="仿宋_GB2312" w:hAnsi="Tahoma" w:eastAsia="仿宋_GB2312" w:cs="Times New Roman"/>
          <w:kern w:val="0"/>
          <w:sz w:val="32"/>
          <w:szCs w:val="32"/>
          <w:lang w:eastAsia="zh-CN"/>
        </w:rPr>
        <w:t>国家应急演练</w:t>
      </w:r>
      <w:r>
        <w:rPr>
          <w:rFonts w:hint="eastAsia" w:ascii="仿宋_GB2312" w:hAnsi="Tahoma" w:eastAsia="仿宋_GB2312" w:cs="Times New Roman"/>
          <w:kern w:val="0"/>
          <w:sz w:val="32"/>
          <w:szCs w:val="32"/>
        </w:rPr>
        <w:t>预算项目，副</w:t>
      </w:r>
      <w:r>
        <w:rPr>
          <w:rFonts w:hint="eastAsia" w:ascii="仿宋_GB2312" w:hAnsi="Tahoma" w:eastAsia="仿宋_GB2312" w:cs="Times New Roman"/>
          <w:kern w:val="0"/>
          <w:sz w:val="32"/>
          <w:szCs w:val="32"/>
          <w:lang w:eastAsia="zh-CN"/>
        </w:rPr>
        <w:t>所</w:t>
      </w:r>
      <w:r>
        <w:rPr>
          <w:rFonts w:hint="eastAsia" w:ascii="仿宋_GB2312" w:hAnsi="Tahoma" w:eastAsia="仿宋_GB2312" w:cs="Times New Roman"/>
          <w:kern w:val="0"/>
          <w:sz w:val="32"/>
          <w:szCs w:val="32"/>
        </w:rPr>
        <w:t>长主要负责</w:t>
      </w:r>
      <w:r>
        <w:rPr>
          <w:rFonts w:hint="eastAsia" w:ascii="仿宋_GB2312" w:hAnsi="Tahoma" w:eastAsia="仿宋_GB2312" w:cs="Times New Roman"/>
          <w:kern w:val="0"/>
          <w:sz w:val="32"/>
          <w:szCs w:val="32"/>
          <w:lang w:eastAsia="zh-CN"/>
        </w:rPr>
        <w:t>仪器校验</w:t>
      </w:r>
      <w:r>
        <w:rPr>
          <w:rFonts w:hint="eastAsia" w:ascii="仿宋_GB2312" w:hAnsi="Tahoma" w:eastAsia="仿宋_GB2312" w:cs="Times New Roman"/>
          <w:kern w:val="0"/>
          <w:sz w:val="32"/>
          <w:szCs w:val="32"/>
        </w:rPr>
        <w:t>等预算项目；</w:t>
      </w:r>
      <w:r>
        <w:rPr>
          <w:rFonts w:hint="eastAsia" w:ascii="仿宋_GB2312" w:hAnsi="Tahoma" w:eastAsia="仿宋_GB2312" w:cs="Times New Roman"/>
          <w:kern w:val="0"/>
          <w:sz w:val="32"/>
          <w:szCs w:val="32"/>
          <w:lang w:eastAsia="zh-CN"/>
        </w:rPr>
        <w:t>办公室主任</w:t>
      </w:r>
      <w:r>
        <w:rPr>
          <w:rFonts w:hint="eastAsia" w:ascii="仿宋_GB2312" w:hAnsi="Tahoma" w:eastAsia="仿宋_GB2312" w:cs="Times New Roman"/>
          <w:kern w:val="0"/>
          <w:sz w:val="32"/>
          <w:szCs w:val="32"/>
        </w:rPr>
        <w:t>在主管领导的统筹安排下，负责预算项目支出；会计在绩效自评工作组的统筹安排下，根据预算项目的具体支出情况，记录预算项目的支出执行情况，整理20</w:t>
      </w:r>
      <w:r>
        <w:rPr>
          <w:rFonts w:hint="eastAsia" w:ascii="仿宋_GB2312" w:hAnsi="Tahoma" w:eastAsia="仿宋_GB2312" w:cs="Times New Roman"/>
          <w:kern w:val="0"/>
          <w:sz w:val="32"/>
          <w:szCs w:val="32"/>
          <w:lang w:val="en-US" w:eastAsia="zh-CN"/>
        </w:rPr>
        <w:t>21</w:t>
      </w:r>
      <w:r>
        <w:rPr>
          <w:rFonts w:hint="eastAsia" w:ascii="仿宋_GB2312" w:hAnsi="Tahoma" w:eastAsia="仿宋_GB2312" w:cs="Times New Roman"/>
          <w:kern w:val="0"/>
          <w:sz w:val="32"/>
          <w:szCs w:val="32"/>
        </w:rPr>
        <w:t>年度预算项目自评材料，撰写20</w:t>
      </w:r>
      <w:r>
        <w:rPr>
          <w:rFonts w:hint="eastAsia" w:ascii="仿宋_GB2312" w:hAnsi="Tahoma" w:eastAsia="仿宋_GB2312" w:cs="Times New Roman"/>
          <w:kern w:val="0"/>
          <w:sz w:val="32"/>
          <w:szCs w:val="32"/>
          <w:lang w:val="en-US" w:eastAsia="zh-CN"/>
        </w:rPr>
        <w:t>21</w:t>
      </w:r>
      <w:r>
        <w:rPr>
          <w:rFonts w:hint="eastAsia" w:ascii="仿宋_GB2312" w:hAnsi="Tahoma" w:eastAsia="仿宋_GB2312" w:cs="Times New Roman"/>
          <w:kern w:val="0"/>
          <w:sz w:val="32"/>
          <w:szCs w:val="32"/>
        </w:rPr>
        <w:t>年度预算项目自评工作报告。</w:t>
      </w:r>
    </w:p>
    <w:p w14:paraId="39978556">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14:paraId="5F9E589C">
      <w:pPr>
        <w:widowControl w:val="0"/>
        <w:numPr>
          <w:ilvl w:val="0"/>
          <w:numId w:val="3"/>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14:paraId="442989DA">
      <w:pPr>
        <w:snapToGrid w:val="0"/>
        <w:spacing w:line="360" w:lineRule="auto"/>
        <w:ind w:firstLine="640" w:firstLineChars="200"/>
        <w:rPr>
          <w:rFonts w:ascii="仿宋" w:hAnsi="仿宋" w:eastAsia="仿宋"/>
          <w:sz w:val="32"/>
          <w:szCs w:val="32"/>
        </w:rPr>
      </w:pPr>
      <w:r>
        <w:rPr>
          <w:rFonts w:hint="eastAsia" w:ascii="仿宋_GB2312" w:hAnsi="Tahoma" w:eastAsia="仿宋_GB2312" w:cs="Times New Roman"/>
          <w:kern w:val="0"/>
          <w:sz w:val="32"/>
          <w:szCs w:val="32"/>
        </w:rPr>
        <w:t>20</w:t>
      </w:r>
      <w:r>
        <w:rPr>
          <w:rFonts w:hint="eastAsia" w:ascii="仿宋_GB2312" w:hAnsi="Tahoma" w:eastAsia="仿宋_GB2312" w:cs="Times New Roman"/>
          <w:kern w:val="0"/>
          <w:sz w:val="32"/>
          <w:szCs w:val="32"/>
          <w:lang w:val="en-US" w:eastAsia="zh-CN"/>
        </w:rPr>
        <w:t>21</w:t>
      </w:r>
      <w:r>
        <w:rPr>
          <w:rFonts w:hint="eastAsia" w:ascii="仿宋_GB2312" w:hAnsi="Tahoma" w:eastAsia="仿宋_GB2312" w:cs="Times New Roman"/>
          <w:kern w:val="0"/>
          <w:sz w:val="32"/>
          <w:szCs w:val="32"/>
        </w:rPr>
        <w:t>年度我</w:t>
      </w:r>
      <w:r>
        <w:rPr>
          <w:rFonts w:hint="eastAsia" w:ascii="仿宋_GB2312" w:hAnsi="Tahoma" w:eastAsia="仿宋_GB2312" w:cs="Times New Roman"/>
          <w:kern w:val="0"/>
          <w:sz w:val="32"/>
          <w:szCs w:val="32"/>
          <w:lang w:eastAsia="zh-CN"/>
        </w:rPr>
        <w:t>所</w:t>
      </w:r>
      <w:r>
        <w:rPr>
          <w:rFonts w:hint="eastAsia" w:ascii="仿宋_GB2312" w:hAnsi="Tahoma" w:eastAsia="仿宋_GB2312" w:cs="Times New Roman"/>
          <w:kern w:val="0"/>
          <w:sz w:val="32"/>
          <w:szCs w:val="32"/>
        </w:rPr>
        <w:t>总预算安排数为</w:t>
      </w:r>
      <w:r>
        <w:rPr>
          <w:rFonts w:hint="eastAsia" w:ascii="仿宋_GB2312" w:hAnsi="Tahoma" w:eastAsia="仿宋_GB2312" w:cs="Times New Roman"/>
          <w:kern w:val="0"/>
          <w:sz w:val="32"/>
          <w:szCs w:val="32"/>
          <w:lang w:val="en-US" w:eastAsia="zh-CN"/>
        </w:rPr>
        <w:t>3</w:t>
      </w:r>
      <w:r>
        <w:rPr>
          <w:rFonts w:hint="eastAsia" w:ascii="仿宋_GB2312" w:hAnsi="Tahoma" w:eastAsia="仿宋_GB2312" w:cs="Times New Roman"/>
          <w:kern w:val="0"/>
          <w:sz w:val="32"/>
          <w:szCs w:val="32"/>
        </w:rPr>
        <w:t>万元，总预算支出数为</w:t>
      </w:r>
      <w:r>
        <w:rPr>
          <w:rFonts w:hint="eastAsia" w:ascii="仿宋_GB2312" w:hAnsi="Tahoma" w:eastAsia="仿宋_GB2312" w:cs="Times New Roman"/>
          <w:kern w:val="0"/>
          <w:sz w:val="32"/>
          <w:szCs w:val="32"/>
          <w:lang w:val="en-US" w:eastAsia="zh-CN"/>
        </w:rPr>
        <w:t>3</w:t>
      </w:r>
      <w:r>
        <w:rPr>
          <w:rFonts w:hint="eastAsia" w:ascii="仿宋_GB2312" w:hAnsi="Tahoma" w:eastAsia="仿宋_GB2312" w:cs="Times New Roman"/>
          <w:kern w:val="0"/>
          <w:sz w:val="32"/>
          <w:szCs w:val="32"/>
        </w:rPr>
        <w:t>万元，总预算执行率为</w:t>
      </w:r>
      <w:r>
        <w:rPr>
          <w:rFonts w:hint="eastAsia" w:ascii="仿宋_GB2312" w:hAnsi="Tahoma" w:eastAsia="仿宋_GB2312" w:cs="Times New Roman"/>
          <w:kern w:val="0"/>
          <w:sz w:val="32"/>
          <w:szCs w:val="32"/>
          <w:lang w:val="en-US" w:eastAsia="zh-CN"/>
        </w:rPr>
        <w:t>100</w:t>
      </w:r>
      <w:r>
        <w:rPr>
          <w:rFonts w:hint="eastAsia" w:ascii="仿宋_GB2312" w:hAnsi="Tahoma" w:eastAsia="仿宋_GB2312" w:cs="Times New Roman"/>
          <w:kern w:val="0"/>
          <w:sz w:val="32"/>
          <w:szCs w:val="32"/>
        </w:rPr>
        <w:t>%。严格预算执行率，提高资金使用效率，保障社会效益生态效益满意度指标。</w:t>
      </w:r>
    </w:p>
    <w:p w14:paraId="5ACB01A9">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14:paraId="72CBCF1F">
      <w:pPr>
        <w:snapToGrid w:val="0"/>
        <w:spacing w:line="360" w:lineRule="auto"/>
        <w:ind w:firstLine="640" w:firstLineChars="200"/>
        <w:rPr>
          <w:rFonts w:ascii="仿宋" w:hAnsi="仿宋" w:eastAsia="仿宋"/>
          <w:sz w:val="32"/>
          <w:szCs w:val="32"/>
        </w:rPr>
      </w:pPr>
      <w:r>
        <w:rPr>
          <w:rFonts w:hint="eastAsia" w:ascii="仿宋_GB2312" w:hAnsi="Tahoma" w:eastAsia="仿宋_GB2312" w:cs="Times New Roman"/>
          <w:kern w:val="0"/>
          <w:sz w:val="32"/>
          <w:szCs w:val="32"/>
        </w:rPr>
        <w:t>20</w:t>
      </w:r>
      <w:r>
        <w:rPr>
          <w:rFonts w:hint="eastAsia" w:ascii="仿宋_GB2312" w:hAnsi="Tahoma" w:eastAsia="仿宋_GB2312" w:cs="Times New Roman"/>
          <w:kern w:val="0"/>
          <w:sz w:val="32"/>
          <w:szCs w:val="32"/>
          <w:lang w:val="en-US" w:eastAsia="zh-CN"/>
        </w:rPr>
        <w:t>21</w:t>
      </w:r>
      <w:r>
        <w:rPr>
          <w:rFonts w:hint="eastAsia" w:ascii="仿宋_GB2312" w:hAnsi="Tahoma" w:eastAsia="仿宋_GB2312" w:cs="Times New Roman"/>
          <w:kern w:val="0"/>
          <w:sz w:val="32"/>
          <w:szCs w:val="32"/>
        </w:rPr>
        <w:t>年度我</w:t>
      </w:r>
      <w:r>
        <w:rPr>
          <w:rFonts w:hint="eastAsia" w:ascii="仿宋_GB2312" w:hAnsi="Tahoma" w:eastAsia="仿宋_GB2312" w:cs="Times New Roman"/>
          <w:kern w:val="0"/>
          <w:sz w:val="32"/>
          <w:szCs w:val="32"/>
          <w:lang w:eastAsia="zh-CN"/>
        </w:rPr>
        <w:t>所应急演练</w:t>
      </w:r>
      <w:r>
        <w:rPr>
          <w:rFonts w:hint="eastAsia" w:ascii="仿宋_GB2312" w:hAnsi="Tahoma" w:eastAsia="仿宋_GB2312" w:cs="Times New Roman"/>
          <w:kern w:val="0"/>
          <w:sz w:val="32"/>
          <w:szCs w:val="32"/>
          <w:lang w:val="en-US" w:eastAsia="zh-CN"/>
        </w:rPr>
        <w:t>1</w:t>
      </w:r>
      <w:r>
        <w:rPr>
          <w:rFonts w:hint="eastAsia" w:ascii="仿宋_GB2312" w:hAnsi="Tahoma" w:eastAsia="仿宋_GB2312" w:cs="Times New Roman"/>
          <w:kern w:val="0"/>
          <w:sz w:val="32"/>
          <w:szCs w:val="32"/>
        </w:rPr>
        <w:t>万元，</w:t>
      </w:r>
      <w:r>
        <w:rPr>
          <w:rFonts w:hint="eastAsia" w:ascii="仿宋_GB2312" w:hAnsi="Tahoma" w:eastAsia="仿宋_GB2312" w:cs="Times New Roman"/>
          <w:kern w:val="0"/>
          <w:sz w:val="32"/>
          <w:szCs w:val="32"/>
          <w:lang w:eastAsia="zh-CN"/>
        </w:rPr>
        <w:t>仪器校验</w:t>
      </w:r>
      <w:r>
        <w:rPr>
          <w:rFonts w:hint="eastAsia" w:ascii="仿宋_GB2312" w:hAnsi="Tahoma" w:eastAsia="仿宋_GB2312" w:cs="Times New Roman"/>
          <w:kern w:val="0"/>
          <w:sz w:val="32"/>
          <w:szCs w:val="32"/>
        </w:rPr>
        <w:t>为</w:t>
      </w:r>
      <w:r>
        <w:rPr>
          <w:rFonts w:hint="eastAsia" w:ascii="仿宋_GB2312" w:hAnsi="Tahoma" w:eastAsia="仿宋_GB2312" w:cs="Times New Roman"/>
          <w:kern w:val="0"/>
          <w:sz w:val="32"/>
          <w:szCs w:val="32"/>
          <w:lang w:val="en-US" w:eastAsia="zh-CN"/>
        </w:rPr>
        <w:t>2</w:t>
      </w:r>
      <w:r>
        <w:rPr>
          <w:rFonts w:hint="eastAsia" w:ascii="仿宋_GB2312" w:hAnsi="Tahoma" w:eastAsia="仿宋_GB2312" w:cs="Times New Roman"/>
          <w:kern w:val="0"/>
          <w:sz w:val="32"/>
          <w:szCs w:val="32"/>
        </w:rPr>
        <w:t>万元，总预算执行率为</w:t>
      </w:r>
      <w:r>
        <w:rPr>
          <w:rFonts w:hint="eastAsia" w:ascii="仿宋_GB2312" w:hAnsi="Tahoma" w:eastAsia="仿宋_GB2312" w:cs="Times New Roman"/>
          <w:kern w:val="0"/>
          <w:sz w:val="32"/>
          <w:szCs w:val="32"/>
          <w:lang w:val="en-US" w:eastAsia="zh-CN"/>
        </w:rPr>
        <w:t>100</w:t>
      </w:r>
      <w:r>
        <w:rPr>
          <w:rFonts w:hint="eastAsia" w:ascii="仿宋_GB2312" w:hAnsi="Tahoma" w:eastAsia="仿宋_GB2312" w:cs="Times New Roman"/>
          <w:kern w:val="0"/>
          <w:sz w:val="32"/>
          <w:szCs w:val="32"/>
        </w:rPr>
        <w:t>%。严格预算执行率，提高资金使用效率，保障社会效益生态效益满意度指标。</w:t>
      </w:r>
    </w:p>
    <w:p w14:paraId="7716F768">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1DC0BBF0">
      <w:pPr>
        <w:widowControl w:val="0"/>
        <w:wordWrap/>
        <w:spacing w:line="560" w:lineRule="exact"/>
        <w:ind w:left="0" w:leftChars="0" w:right="0" w:firstLine="640" w:firstLineChars="200"/>
        <w:textAlignment w:val="auto"/>
        <w:outlineLvl w:val="9"/>
        <w:rPr>
          <w:rFonts w:ascii="仿宋" w:hAnsi="仿宋" w:eastAsia="仿宋"/>
          <w:sz w:val="32"/>
          <w:szCs w:val="32"/>
        </w:rPr>
      </w:pPr>
      <w:r>
        <w:rPr>
          <w:rFonts w:hint="eastAsia" w:ascii="仿宋_GB2312" w:eastAsia="仿宋_GB2312"/>
          <w:sz w:val="32"/>
          <w:szCs w:val="32"/>
          <w:lang w:eastAsia="zh-CN"/>
        </w:rPr>
        <w:t>为</w:t>
      </w:r>
      <w:r>
        <w:rPr>
          <w:rFonts w:hAnsi="仿宋" w:eastAsia="仿宋"/>
          <w:sz w:val="32"/>
          <w:szCs w:val="32"/>
        </w:rPr>
        <w:t>做好</w:t>
      </w:r>
      <w:r>
        <w:rPr>
          <w:rFonts w:hint="eastAsia" w:hAnsi="仿宋" w:eastAsia="仿宋"/>
          <w:sz w:val="32"/>
          <w:szCs w:val="32"/>
        </w:rPr>
        <w:t>洪涝等重大自然灾害</w:t>
      </w:r>
      <w:r>
        <w:rPr>
          <w:rFonts w:hint="eastAsia" w:hAnsi="仿宋" w:eastAsia="仿宋"/>
          <w:sz w:val="32"/>
          <w:szCs w:val="32"/>
          <w:lang w:eastAsia="zh-CN"/>
        </w:rPr>
        <w:t>以及突发急性传染病</w:t>
      </w:r>
      <w:r>
        <w:rPr>
          <w:rFonts w:hAnsi="仿宋" w:eastAsia="仿宋"/>
          <w:sz w:val="32"/>
          <w:szCs w:val="32"/>
        </w:rPr>
        <w:t>卫生</w:t>
      </w:r>
      <w:r>
        <w:rPr>
          <w:rFonts w:hint="eastAsia" w:hAnsi="仿宋" w:eastAsia="仿宋"/>
          <w:sz w:val="32"/>
          <w:szCs w:val="32"/>
        </w:rPr>
        <w:t>应急</w:t>
      </w:r>
      <w:r>
        <w:rPr>
          <w:rFonts w:hAnsi="仿宋" w:eastAsia="仿宋"/>
          <w:sz w:val="32"/>
          <w:szCs w:val="32"/>
        </w:rPr>
        <w:t>工作</w:t>
      </w:r>
      <w:r>
        <w:rPr>
          <w:rFonts w:hint="eastAsia" w:hAnsi="仿宋" w:eastAsia="仿宋"/>
          <w:sz w:val="32"/>
          <w:szCs w:val="32"/>
          <w:lang w:eastAsia="zh-CN"/>
        </w:rPr>
        <w:t>，提高</w:t>
      </w:r>
      <w:r>
        <w:rPr>
          <w:rFonts w:hint="eastAsia" w:ascii="仿宋_GB2312" w:hAnsi="仿宋_GB2312" w:eastAsia="仿宋_GB2312" w:cs="仿宋_GB2312"/>
          <w:sz w:val="32"/>
          <w:szCs w:val="32"/>
          <w:lang w:eastAsia="zh-CN"/>
        </w:rPr>
        <w:t>快速准确地处置我区突发公共卫生事件的能力，保证社会平稳运行。</w:t>
      </w: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w:t>
      </w:r>
    </w:p>
    <w:p w14:paraId="6E07EC41">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14:paraId="3BBD05A3">
      <w:pPr>
        <w:widowControl w:val="0"/>
        <w:wordWrap/>
        <w:spacing w:line="560" w:lineRule="exact"/>
        <w:ind w:left="0" w:leftChars="0" w:right="0" w:firstLine="643" w:firstLineChars="200"/>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rPr>
        <w:t>（一）存在的主要问题</w:t>
      </w:r>
      <w:r>
        <w:rPr>
          <w:rFonts w:hint="eastAsia" w:ascii="仿宋" w:hAnsi="仿宋" w:eastAsia="仿宋"/>
          <w:b/>
          <w:bCs/>
          <w:sz w:val="32"/>
          <w:szCs w:val="32"/>
          <w:lang w:val="en-US" w:eastAsia="zh-CN"/>
        </w:rPr>
        <w:t xml:space="preserve"> 无</w:t>
      </w:r>
    </w:p>
    <w:p w14:paraId="763985F0">
      <w:pPr>
        <w:widowControl w:val="0"/>
        <w:wordWrap/>
        <w:spacing w:line="560" w:lineRule="exact"/>
        <w:ind w:left="0" w:leftChars="0" w:right="0" w:firstLine="643" w:firstLineChars="200"/>
        <w:textAlignment w:val="auto"/>
        <w:outlineLvl w:val="9"/>
        <w:rPr>
          <w:rFonts w:ascii="仿宋" w:hAnsi="仿宋" w:eastAsia="仿宋"/>
          <w:b/>
          <w:bCs/>
          <w:sz w:val="32"/>
          <w:szCs w:val="32"/>
        </w:rPr>
      </w:pPr>
      <w:r>
        <w:rPr>
          <w:rFonts w:hint="eastAsia" w:ascii="仿宋" w:hAnsi="仿宋" w:eastAsia="仿宋"/>
          <w:b/>
          <w:bCs/>
          <w:sz w:val="32"/>
          <w:szCs w:val="32"/>
        </w:rPr>
        <w:t>（二）针对问题提出具体的改进措施或建议</w:t>
      </w:r>
    </w:p>
    <w:p w14:paraId="49AFF0E3">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14:paraId="656D26CA">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p>
    <w:tbl>
      <w:tblPr>
        <w:tblStyle w:val="4"/>
        <w:tblW w:w="0" w:type="auto"/>
        <w:tblInd w:w="96" w:type="dxa"/>
        <w:tblLayout w:type="fixed"/>
        <w:tblCellMar>
          <w:top w:w="0" w:type="dxa"/>
          <w:left w:w="108" w:type="dxa"/>
          <w:bottom w:w="0" w:type="dxa"/>
          <w:right w:w="108" w:type="dxa"/>
        </w:tblCellMar>
      </w:tblPr>
      <w:tblGrid>
        <w:gridCol w:w="2180"/>
        <w:gridCol w:w="2180"/>
        <w:gridCol w:w="2180"/>
        <w:gridCol w:w="2180"/>
      </w:tblGrid>
      <w:tr w14:paraId="18FFD94B">
        <w:tblPrEx>
          <w:tblCellMar>
            <w:top w:w="0" w:type="dxa"/>
            <w:left w:w="108" w:type="dxa"/>
            <w:bottom w:w="0" w:type="dxa"/>
            <w:right w:w="108" w:type="dxa"/>
          </w:tblCellMar>
        </w:tblPrEx>
        <w:trPr>
          <w:trHeight w:val="984" w:hRule="atLeast"/>
        </w:trPr>
        <w:tc>
          <w:tcPr>
            <w:tcW w:w="2180" w:type="dxa"/>
            <w:tcBorders>
              <w:top w:val="single" w:color="auto" w:sz="4" w:space="0"/>
              <w:left w:val="single" w:color="auto" w:sz="4" w:space="0"/>
              <w:bottom w:val="single" w:color="auto" w:sz="4" w:space="0"/>
              <w:right w:val="single" w:color="auto" w:sz="4" w:space="0"/>
            </w:tcBorders>
            <w:noWrap w:val="0"/>
            <w:vAlign w:val="center"/>
          </w:tcPr>
          <w:p w14:paraId="35B75F50">
            <w:pPr>
              <w:widowControl/>
              <w:jc w:val="center"/>
              <w:rPr>
                <w:rFonts w:ascii="宋体" w:hAnsi="宋体" w:cs="宋体"/>
                <w:b/>
                <w:bCs/>
                <w:color w:val="000000"/>
                <w:kern w:val="0"/>
                <w:sz w:val="28"/>
                <w:szCs w:val="28"/>
              </w:rPr>
            </w:pPr>
            <w:r>
              <w:rPr>
                <w:rFonts w:hint="eastAsia" w:ascii="宋体" w:hAnsi="宋体" w:cs="宋体"/>
                <w:b/>
                <w:bCs/>
                <w:color w:val="000000"/>
                <w:kern w:val="0"/>
                <w:sz w:val="28"/>
                <w:szCs w:val="28"/>
              </w:rPr>
              <w:t>评价组</w:t>
            </w:r>
          </w:p>
        </w:tc>
        <w:tc>
          <w:tcPr>
            <w:tcW w:w="2180" w:type="dxa"/>
            <w:tcBorders>
              <w:top w:val="single" w:color="auto" w:sz="4" w:space="0"/>
              <w:left w:val="nil"/>
              <w:bottom w:val="single" w:color="auto" w:sz="4" w:space="0"/>
              <w:right w:val="single" w:color="auto" w:sz="4" w:space="0"/>
            </w:tcBorders>
            <w:noWrap w:val="0"/>
            <w:vAlign w:val="center"/>
          </w:tcPr>
          <w:p w14:paraId="504DD694">
            <w:pPr>
              <w:widowControl/>
              <w:jc w:val="center"/>
              <w:rPr>
                <w:rFonts w:ascii="宋体" w:hAnsi="宋体" w:cs="宋体"/>
                <w:b/>
                <w:bCs/>
                <w:color w:val="000000"/>
                <w:kern w:val="0"/>
                <w:sz w:val="28"/>
                <w:szCs w:val="28"/>
              </w:rPr>
            </w:pPr>
            <w:r>
              <w:rPr>
                <w:rFonts w:hint="eastAsia" w:ascii="宋体" w:hAnsi="宋体" w:cs="宋体"/>
                <w:b/>
                <w:bCs/>
                <w:color w:val="000000"/>
                <w:kern w:val="0"/>
                <w:sz w:val="28"/>
                <w:szCs w:val="28"/>
              </w:rPr>
              <w:t>工作单位</w:t>
            </w:r>
          </w:p>
        </w:tc>
        <w:tc>
          <w:tcPr>
            <w:tcW w:w="2180" w:type="dxa"/>
            <w:tcBorders>
              <w:top w:val="single" w:color="auto" w:sz="4" w:space="0"/>
              <w:left w:val="nil"/>
              <w:bottom w:val="single" w:color="auto" w:sz="4" w:space="0"/>
              <w:right w:val="single" w:color="auto" w:sz="4" w:space="0"/>
            </w:tcBorders>
            <w:noWrap w:val="0"/>
            <w:vAlign w:val="center"/>
          </w:tcPr>
          <w:p w14:paraId="105AFDE3">
            <w:pPr>
              <w:widowControl/>
              <w:jc w:val="center"/>
              <w:rPr>
                <w:rFonts w:ascii="宋体" w:hAnsi="宋体" w:cs="宋体"/>
                <w:b/>
                <w:bCs/>
                <w:color w:val="000000"/>
                <w:kern w:val="0"/>
                <w:sz w:val="28"/>
                <w:szCs w:val="28"/>
              </w:rPr>
            </w:pPr>
            <w:r>
              <w:rPr>
                <w:rFonts w:hint="eastAsia" w:ascii="宋体" w:hAnsi="宋体" w:cs="宋体"/>
                <w:b/>
                <w:bCs/>
                <w:color w:val="000000"/>
                <w:kern w:val="0"/>
                <w:sz w:val="28"/>
                <w:szCs w:val="28"/>
              </w:rPr>
              <w:t>职务</w:t>
            </w:r>
          </w:p>
        </w:tc>
        <w:tc>
          <w:tcPr>
            <w:tcW w:w="2180" w:type="dxa"/>
            <w:tcBorders>
              <w:top w:val="single" w:color="auto" w:sz="4" w:space="0"/>
              <w:left w:val="nil"/>
              <w:bottom w:val="single" w:color="auto" w:sz="4" w:space="0"/>
              <w:right w:val="single" w:color="auto" w:sz="4" w:space="0"/>
            </w:tcBorders>
            <w:noWrap w:val="0"/>
            <w:vAlign w:val="center"/>
          </w:tcPr>
          <w:p w14:paraId="388E0639">
            <w:pPr>
              <w:widowControl/>
              <w:jc w:val="center"/>
              <w:rPr>
                <w:rFonts w:ascii="宋体" w:hAnsi="宋体" w:cs="宋体"/>
                <w:b/>
                <w:bCs/>
                <w:color w:val="000000"/>
                <w:kern w:val="0"/>
                <w:sz w:val="28"/>
                <w:szCs w:val="28"/>
              </w:rPr>
            </w:pPr>
            <w:r>
              <w:rPr>
                <w:rFonts w:hint="eastAsia" w:ascii="宋体" w:hAnsi="宋体" w:cs="宋体"/>
                <w:b/>
                <w:bCs/>
                <w:color w:val="000000"/>
                <w:kern w:val="0"/>
                <w:sz w:val="28"/>
                <w:szCs w:val="28"/>
              </w:rPr>
              <w:t>姓名</w:t>
            </w:r>
          </w:p>
        </w:tc>
      </w:tr>
      <w:tr w14:paraId="38F9D496">
        <w:tblPrEx>
          <w:tblCellMar>
            <w:top w:w="0" w:type="dxa"/>
            <w:left w:w="108" w:type="dxa"/>
            <w:bottom w:w="0" w:type="dxa"/>
            <w:right w:w="108" w:type="dxa"/>
          </w:tblCellMar>
        </w:tblPrEx>
        <w:trPr>
          <w:trHeight w:val="984" w:hRule="atLeast"/>
        </w:trPr>
        <w:tc>
          <w:tcPr>
            <w:tcW w:w="2180" w:type="dxa"/>
            <w:tcBorders>
              <w:top w:val="nil"/>
              <w:left w:val="single" w:color="auto" w:sz="4" w:space="0"/>
              <w:bottom w:val="single" w:color="auto" w:sz="4" w:space="0"/>
              <w:right w:val="single" w:color="auto" w:sz="4" w:space="0"/>
            </w:tcBorders>
            <w:noWrap w:val="0"/>
            <w:vAlign w:val="center"/>
          </w:tcPr>
          <w:p w14:paraId="19451C44">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组长</w:t>
            </w:r>
          </w:p>
        </w:tc>
        <w:tc>
          <w:tcPr>
            <w:tcW w:w="2180" w:type="dxa"/>
            <w:tcBorders>
              <w:top w:val="nil"/>
              <w:left w:val="nil"/>
              <w:bottom w:val="single" w:color="auto" w:sz="4" w:space="0"/>
              <w:right w:val="single" w:color="auto" w:sz="4" w:space="0"/>
            </w:tcBorders>
            <w:noWrap w:val="0"/>
            <w:vAlign w:val="center"/>
          </w:tcPr>
          <w:p w14:paraId="5AA80EAE">
            <w:pPr>
              <w:widowControl/>
              <w:jc w:val="center"/>
              <w:rPr>
                <w:rFonts w:hint="eastAsia" w:ascii="仿宋" w:hAnsi="仿宋" w:eastAsia="仿宋" w:cs="宋体"/>
                <w:color w:val="000000"/>
                <w:kern w:val="0"/>
                <w:sz w:val="28"/>
                <w:szCs w:val="28"/>
                <w:lang w:eastAsia="zh-CN"/>
              </w:rPr>
            </w:pPr>
            <w:r>
              <w:rPr>
                <w:rFonts w:hint="eastAsia" w:ascii="仿宋" w:hAnsi="仿宋" w:eastAsia="仿宋" w:cs="宋体"/>
                <w:color w:val="000000"/>
                <w:kern w:val="0"/>
                <w:sz w:val="28"/>
                <w:szCs w:val="28"/>
                <w:lang w:eastAsia="zh-CN"/>
              </w:rPr>
              <w:t>卫生监督所</w:t>
            </w:r>
          </w:p>
        </w:tc>
        <w:tc>
          <w:tcPr>
            <w:tcW w:w="2180" w:type="dxa"/>
            <w:tcBorders>
              <w:top w:val="nil"/>
              <w:left w:val="nil"/>
              <w:bottom w:val="single" w:color="auto" w:sz="4" w:space="0"/>
              <w:right w:val="single" w:color="auto" w:sz="4" w:space="0"/>
            </w:tcBorders>
            <w:noWrap w:val="0"/>
            <w:vAlign w:val="center"/>
          </w:tcPr>
          <w:p w14:paraId="4D53AF5B">
            <w:pPr>
              <w:widowControl/>
              <w:jc w:val="center"/>
              <w:rPr>
                <w:rFonts w:hint="eastAsia" w:ascii="仿宋" w:hAnsi="仿宋" w:eastAsia="仿宋" w:cs="宋体"/>
                <w:color w:val="000000"/>
                <w:kern w:val="0"/>
                <w:sz w:val="28"/>
                <w:szCs w:val="28"/>
                <w:lang w:eastAsia="zh-CN"/>
              </w:rPr>
            </w:pPr>
            <w:r>
              <w:rPr>
                <w:rFonts w:hint="eastAsia" w:ascii="仿宋" w:hAnsi="仿宋" w:eastAsia="仿宋" w:cs="宋体"/>
                <w:color w:val="000000"/>
                <w:kern w:val="0"/>
                <w:sz w:val="28"/>
                <w:szCs w:val="28"/>
                <w:lang w:eastAsia="zh-CN"/>
              </w:rPr>
              <w:t>所长</w:t>
            </w:r>
          </w:p>
        </w:tc>
        <w:tc>
          <w:tcPr>
            <w:tcW w:w="2180" w:type="dxa"/>
            <w:tcBorders>
              <w:top w:val="nil"/>
              <w:left w:val="nil"/>
              <w:bottom w:val="single" w:color="auto" w:sz="4" w:space="0"/>
              <w:right w:val="single" w:color="auto" w:sz="4" w:space="0"/>
            </w:tcBorders>
            <w:noWrap w:val="0"/>
            <w:vAlign w:val="center"/>
          </w:tcPr>
          <w:p w14:paraId="6E02CEE8">
            <w:pPr>
              <w:widowControl/>
              <w:jc w:val="center"/>
              <w:rPr>
                <w:rFonts w:hint="eastAsia" w:ascii="仿宋" w:hAnsi="仿宋" w:eastAsia="仿宋" w:cs="宋体"/>
                <w:color w:val="000000"/>
                <w:kern w:val="0"/>
                <w:sz w:val="28"/>
                <w:szCs w:val="28"/>
                <w:lang w:eastAsia="zh-CN"/>
              </w:rPr>
            </w:pPr>
            <w:r>
              <w:rPr>
                <w:rFonts w:hint="eastAsia" w:ascii="仿宋" w:hAnsi="仿宋" w:eastAsia="仿宋" w:cs="宋体"/>
                <w:color w:val="000000"/>
                <w:kern w:val="0"/>
                <w:sz w:val="28"/>
                <w:szCs w:val="28"/>
                <w:lang w:eastAsia="zh-CN"/>
              </w:rPr>
              <w:t>郑</w:t>
            </w:r>
            <w:r>
              <w:rPr>
                <w:rFonts w:hint="eastAsia" w:ascii="仿宋" w:hAnsi="仿宋" w:eastAsia="仿宋" w:cs="宋体"/>
                <w:color w:val="000000"/>
                <w:kern w:val="0"/>
                <w:sz w:val="28"/>
                <w:szCs w:val="28"/>
                <w:lang w:val="en-US" w:eastAsia="zh-CN"/>
              </w:rPr>
              <w:t xml:space="preserve">  </w:t>
            </w:r>
            <w:r>
              <w:rPr>
                <w:rFonts w:hint="eastAsia" w:ascii="仿宋" w:hAnsi="仿宋" w:eastAsia="仿宋" w:cs="宋体"/>
                <w:color w:val="000000"/>
                <w:kern w:val="0"/>
                <w:sz w:val="28"/>
                <w:szCs w:val="28"/>
                <w:lang w:eastAsia="zh-CN"/>
              </w:rPr>
              <w:t>雨</w:t>
            </w:r>
          </w:p>
        </w:tc>
      </w:tr>
      <w:tr w14:paraId="055A49BA">
        <w:tblPrEx>
          <w:tblCellMar>
            <w:top w:w="0" w:type="dxa"/>
            <w:left w:w="108" w:type="dxa"/>
            <w:bottom w:w="0" w:type="dxa"/>
            <w:right w:w="108" w:type="dxa"/>
          </w:tblCellMar>
        </w:tblPrEx>
        <w:trPr>
          <w:trHeight w:val="984" w:hRule="atLeast"/>
        </w:trPr>
        <w:tc>
          <w:tcPr>
            <w:tcW w:w="2180" w:type="dxa"/>
            <w:tcBorders>
              <w:top w:val="single" w:color="auto" w:sz="4" w:space="0"/>
              <w:left w:val="single" w:color="auto" w:sz="4" w:space="0"/>
              <w:bottom w:val="single" w:color="auto" w:sz="4" w:space="0"/>
              <w:right w:val="single" w:color="auto" w:sz="4" w:space="0"/>
            </w:tcBorders>
            <w:noWrap w:val="0"/>
            <w:vAlign w:val="center"/>
          </w:tcPr>
          <w:p w14:paraId="3411CCE2">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lang w:eastAsia="zh-CN"/>
              </w:rPr>
              <w:t>副</w:t>
            </w:r>
            <w:r>
              <w:rPr>
                <w:rFonts w:hint="eastAsia" w:ascii="仿宋" w:hAnsi="仿宋" w:eastAsia="仿宋" w:cs="宋体"/>
                <w:color w:val="000000"/>
                <w:kern w:val="0"/>
                <w:sz w:val="28"/>
                <w:szCs w:val="28"/>
              </w:rPr>
              <w:t>组长</w:t>
            </w:r>
          </w:p>
        </w:tc>
        <w:tc>
          <w:tcPr>
            <w:tcW w:w="2180" w:type="dxa"/>
            <w:tcBorders>
              <w:top w:val="single" w:color="auto" w:sz="4" w:space="0"/>
              <w:left w:val="single" w:color="auto" w:sz="4" w:space="0"/>
              <w:bottom w:val="single" w:color="auto" w:sz="4" w:space="0"/>
              <w:right w:val="single" w:color="auto" w:sz="4" w:space="0"/>
            </w:tcBorders>
            <w:noWrap w:val="0"/>
            <w:vAlign w:val="center"/>
          </w:tcPr>
          <w:p w14:paraId="0B113AEF">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lang w:eastAsia="zh-CN"/>
              </w:rPr>
              <w:t>卫生监督所</w:t>
            </w:r>
          </w:p>
        </w:tc>
        <w:tc>
          <w:tcPr>
            <w:tcW w:w="2180" w:type="dxa"/>
            <w:tcBorders>
              <w:top w:val="single" w:color="auto" w:sz="4" w:space="0"/>
              <w:left w:val="single" w:color="auto" w:sz="4" w:space="0"/>
              <w:bottom w:val="single" w:color="auto" w:sz="4" w:space="0"/>
              <w:right w:val="single" w:color="auto" w:sz="4" w:space="0"/>
            </w:tcBorders>
            <w:noWrap w:val="0"/>
            <w:vAlign w:val="center"/>
          </w:tcPr>
          <w:p w14:paraId="6DA43356">
            <w:pPr>
              <w:widowControl/>
              <w:jc w:val="center"/>
              <w:rPr>
                <w:rFonts w:hint="eastAsia" w:ascii="仿宋" w:hAnsi="仿宋" w:eastAsia="仿宋" w:cs="宋体"/>
                <w:color w:val="000000"/>
                <w:kern w:val="0"/>
                <w:sz w:val="28"/>
                <w:szCs w:val="28"/>
                <w:lang w:eastAsia="zh-CN"/>
              </w:rPr>
            </w:pPr>
            <w:r>
              <w:rPr>
                <w:rFonts w:hint="eastAsia" w:ascii="仿宋" w:hAnsi="仿宋" w:eastAsia="仿宋" w:cs="宋体"/>
                <w:color w:val="000000"/>
                <w:kern w:val="0"/>
                <w:sz w:val="28"/>
                <w:szCs w:val="28"/>
                <w:lang w:eastAsia="zh-CN"/>
              </w:rPr>
              <w:t>副所长</w:t>
            </w:r>
          </w:p>
        </w:tc>
        <w:tc>
          <w:tcPr>
            <w:tcW w:w="2180" w:type="dxa"/>
            <w:tcBorders>
              <w:top w:val="single" w:color="auto" w:sz="4" w:space="0"/>
              <w:left w:val="single" w:color="auto" w:sz="4" w:space="0"/>
              <w:bottom w:val="single" w:color="auto" w:sz="4" w:space="0"/>
              <w:right w:val="single" w:color="auto" w:sz="4" w:space="0"/>
            </w:tcBorders>
            <w:noWrap w:val="0"/>
            <w:vAlign w:val="center"/>
          </w:tcPr>
          <w:p w14:paraId="2ABCB955">
            <w:pPr>
              <w:widowControl/>
              <w:jc w:val="center"/>
              <w:rPr>
                <w:rFonts w:hint="eastAsia" w:ascii="仿宋" w:hAnsi="仿宋" w:eastAsia="仿宋" w:cs="宋体"/>
                <w:color w:val="000000"/>
                <w:kern w:val="0"/>
                <w:sz w:val="28"/>
                <w:szCs w:val="28"/>
                <w:lang w:eastAsia="zh-CN"/>
              </w:rPr>
            </w:pPr>
            <w:r>
              <w:rPr>
                <w:rFonts w:hint="eastAsia" w:ascii="仿宋" w:hAnsi="仿宋" w:eastAsia="仿宋" w:cs="宋体"/>
                <w:color w:val="000000"/>
                <w:kern w:val="0"/>
                <w:sz w:val="28"/>
                <w:szCs w:val="28"/>
                <w:lang w:eastAsia="zh-CN"/>
              </w:rPr>
              <w:t>邢国辉</w:t>
            </w:r>
          </w:p>
        </w:tc>
      </w:tr>
      <w:tr w14:paraId="3AE7B940">
        <w:tblPrEx>
          <w:tblCellMar>
            <w:top w:w="0" w:type="dxa"/>
            <w:left w:w="108" w:type="dxa"/>
            <w:bottom w:w="0" w:type="dxa"/>
            <w:right w:w="108" w:type="dxa"/>
          </w:tblCellMar>
        </w:tblPrEx>
        <w:trPr>
          <w:trHeight w:val="984" w:hRule="atLeast"/>
        </w:trPr>
        <w:tc>
          <w:tcPr>
            <w:tcW w:w="2180" w:type="dxa"/>
            <w:tcBorders>
              <w:top w:val="single" w:color="auto" w:sz="4" w:space="0"/>
              <w:left w:val="single" w:color="auto" w:sz="4" w:space="0"/>
              <w:bottom w:val="single" w:color="auto" w:sz="4" w:space="0"/>
              <w:right w:val="single" w:color="auto" w:sz="4" w:space="0"/>
            </w:tcBorders>
            <w:noWrap w:val="0"/>
            <w:vAlign w:val="center"/>
          </w:tcPr>
          <w:p w14:paraId="709AFA83">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组员</w:t>
            </w:r>
          </w:p>
        </w:tc>
        <w:tc>
          <w:tcPr>
            <w:tcW w:w="2180" w:type="dxa"/>
            <w:tcBorders>
              <w:top w:val="single" w:color="auto" w:sz="4" w:space="0"/>
              <w:left w:val="nil"/>
              <w:bottom w:val="single" w:color="auto" w:sz="4" w:space="0"/>
              <w:right w:val="single" w:color="auto" w:sz="4" w:space="0"/>
            </w:tcBorders>
            <w:noWrap w:val="0"/>
            <w:vAlign w:val="center"/>
          </w:tcPr>
          <w:p w14:paraId="2F675076">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lang w:eastAsia="zh-CN"/>
              </w:rPr>
              <w:t>卫生监督所</w:t>
            </w:r>
          </w:p>
        </w:tc>
        <w:tc>
          <w:tcPr>
            <w:tcW w:w="2180" w:type="dxa"/>
            <w:tcBorders>
              <w:top w:val="single" w:color="auto" w:sz="4" w:space="0"/>
              <w:left w:val="nil"/>
              <w:bottom w:val="single" w:color="auto" w:sz="4" w:space="0"/>
              <w:right w:val="single" w:color="auto" w:sz="4" w:space="0"/>
            </w:tcBorders>
            <w:noWrap w:val="0"/>
            <w:vAlign w:val="center"/>
          </w:tcPr>
          <w:p w14:paraId="2A6B9612">
            <w:pPr>
              <w:widowControl/>
              <w:jc w:val="center"/>
              <w:rPr>
                <w:rFonts w:ascii="仿宋" w:hAnsi="仿宋" w:eastAsia="仿宋" w:cs="宋体"/>
                <w:color w:val="000000"/>
                <w:kern w:val="0"/>
                <w:sz w:val="28"/>
                <w:szCs w:val="28"/>
              </w:rPr>
            </w:pPr>
            <w:r>
              <w:rPr>
                <w:rFonts w:hint="eastAsia" w:ascii="仿宋" w:hAnsi="仿宋" w:eastAsia="仿宋" w:cs="宋体"/>
                <w:color w:val="000000"/>
                <w:kern w:val="0"/>
                <w:sz w:val="28"/>
                <w:szCs w:val="28"/>
              </w:rPr>
              <w:t>办公室主任</w:t>
            </w:r>
          </w:p>
        </w:tc>
        <w:tc>
          <w:tcPr>
            <w:tcW w:w="2180" w:type="dxa"/>
            <w:tcBorders>
              <w:top w:val="single" w:color="auto" w:sz="4" w:space="0"/>
              <w:left w:val="nil"/>
              <w:bottom w:val="single" w:color="auto" w:sz="4" w:space="0"/>
              <w:right w:val="single" w:color="auto" w:sz="4" w:space="0"/>
            </w:tcBorders>
            <w:noWrap w:val="0"/>
            <w:vAlign w:val="center"/>
          </w:tcPr>
          <w:p w14:paraId="3AF62EDC">
            <w:pPr>
              <w:widowControl/>
              <w:jc w:val="center"/>
              <w:rPr>
                <w:rFonts w:hint="eastAsia" w:ascii="仿宋" w:hAnsi="仿宋" w:eastAsia="仿宋" w:cs="宋体"/>
                <w:color w:val="000000"/>
                <w:kern w:val="0"/>
                <w:sz w:val="28"/>
                <w:szCs w:val="28"/>
                <w:lang w:eastAsia="zh-CN"/>
              </w:rPr>
            </w:pPr>
            <w:r>
              <w:rPr>
                <w:rFonts w:hint="eastAsia" w:ascii="仿宋" w:hAnsi="仿宋" w:eastAsia="仿宋" w:cs="宋体"/>
                <w:color w:val="000000"/>
                <w:kern w:val="0"/>
                <w:sz w:val="28"/>
                <w:szCs w:val="28"/>
                <w:lang w:eastAsia="zh-CN"/>
              </w:rPr>
              <w:t>戴嘉林</w:t>
            </w:r>
          </w:p>
        </w:tc>
      </w:tr>
    </w:tbl>
    <w:p w14:paraId="13FC4AC4">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4508BC">
    <w:pPr>
      <w:pStyle w:val="2"/>
    </w:pPr>
    <w:r>
      <w:rPr>
        <w:rFonts w:ascii="Calibri" w:hAnsi="Calibri" w:eastAsia="宋体" w:cs="黑体"/>
        <w:kern w:val="2"/>
        <w:sz w:val="18"/>
        <w:szCs w:val="22"/>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14:paraId="4A9C4BA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33F16358"/>
    <w:multiLevelType w:val="multilevel"/>
    <w:tmpl w:val="33F16358"/>
    <w:lvl w:ilvl="0" w:tentative="0">
      <w:start w:val="1"/>
      <w:numFmt w:val="japaneseCounting"/>
      <w:lvlText w:val="（%1）"/>
      <w:lvlJc w:val="left"/>
      <w:pPr>
        <w:ind w:left="1720" w:hanging="108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7E6C1F"/>
    <w:rsid w:val="00AF566A"/>
    <w:rsid w:val="00B6553A"/>
    <w:rsid w:val="01B104CA"/>
    <w:rsid w:val="02106AB0"/>
    <w:rsid w:val="02B43A28"/>
    <w:rsid w:val="046F331E"/>
    <w:rsid w:val="07956271"/>
    <w:rsid w:val="09721397"/>
    <w:rsid w:val="0BB63BED"/>
    <w:rsid w:val="0EB97A43"/>
    <w:rsid w:val="0EBD2122"/>
    <w:rsid w:val="0F214EAE"/>
    <w:rsid w:val="11B71E6A"/>
    <w:rsid w:val="1AAF0063"/>
    <w:rsid w:val="1BE140DE"/>
    <w:rsid w:val="1E8B2D06"/>
    <w:rsid w:val="248C197D"/>
    <w:rsid w:val="252959AF"/>
    <w:rsid w:val="277A6671"/>
    <w:rsid w:val="292D35B7"/>
    <w:rsid w:val="33EB6CFF"/>
    <w:rsid w:val="35A12947"/>
    <w:rsid w:val="37387040"/>
    <w:rsid w:val="3B625C0A"/>
    <w:rsid w:val="3CEE1963"/>
    <w:rsid w:val="42505B0D"/>
    <w:rsid w:val="45DB37CD"/>
    <w:rsid w:val="4C9C27FE"/>
    <w:rsid w:val="512260B4"/>
    <w:rsid w:val="52BD6ACB"/>
    <w:rsid w:val="55537534"/>
    <w:rsid w:val="561A74F1"/>
    <w:rsid w:val="597244E8"/>
    <w:rsid w:val="5EB71C30"/>
    <w:rsid w:val="66A631A8"/>
    <w:rsid w:val="66AF0CE5"/>
    <w:rsid w:val="6AC537CF"/>
    <w:rsid w:val="6E5B14A6"/>
    <w:rsid w:val="6FD142F7"/>
    <w:rsid w:val="711B255E"/>
    <w:rsid w:val="7BB51E06"/>
    <w:rsid w:val="7C387F7C"/>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List Paragraph"/>
    <w:basedOn w:val="1"/>
    <w:qFormat/>
    <w:uiPriority w:val="34"/>
    <w:pPr>
      <w:ind w:firstLine="420" w:firstLineChars="200"/>
    </w:pPr>
  </w:style>
  <w:style w:type="paragraph" w:customStyle="1" w:styleId="7">
    <w:name w:val="_Style 1"/>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2161</Words>
  <Characters>2258</Characters>
  <Lines>7</Lines>
  <Paragraphs>2</Paragraphs>
  <TotalTime>5</TotalTime>
  <ScaleCrop>false</ScaleCrop>
  <LinksUpToDate>false</LinksUpToDate>
  <CharactersWithSpaces>2302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2022-04-13T02:54:00Z</cp:lastPrinted>
  <dcterms:modified xsi:type="dcterms:W3CDTF">2024-12-19T07:19:41Z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649415D0B6AE43DFB6BEBB99F4654D35</vt:lpwstr>
  </property>
</Properties>
</file>