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lang w:eastAsia="zh-CN"/>
        </w:rPr>
      </w:pPr>
      <w:bookmarkStart w:id="9" w:name="_GoBack"/>
      <w:bookmarkEnd w:id="9"/>
    </w:p>
    <w:p>
      <w:pPr>
        <w:jc w:val="center"/>
        <w:outlineLvl w:val="0"/>
        <w:rPr>
          <w:rFonts w:hint="eastAsia" w:ascii="黑体" w:hAnsi="黑体" w:eastAsia="黑体" w:cs="黑体"/>
          <w:b/>
          <w:color w:val="000000"/>
          <w:sz w:val="44"/>
          <w:lang w:eastAsia="zh-CN"/>
        </w:rPr>
      </w:pPr>
    </w:p>
    <w:p>
      <w:pPr>
        <w:jc w:val="center"/>
        <w:outlineLvl w:val="0"/>
        <w:rPr>
          <w:rFonts w:hint="eastAsia" w:ascii="黑体" w:hAnsi="黑体" w:eastAsia="黑体" w:cs="黑体"/>
          <w:b/>
          <w:color w:val="000000"/>
          <w:sz w:val="44"/>
          <w:lang w:eastAsia="zh-CN"/>
        </w:rPr>
      </w:pPr>
    </w:p>
    <w:p>
      <w:pPr>
        <w:jc w:val="center"/>
        <w:outlineLvl w:val="0"/>
        <w:rPr>
          <w:rFonts w:hint="eastAsia" w:ascii="黑体" w:hAnsi="黑体" w:eastAsia="黑体" w:cs="黑体"/>
          <w:b/>
          <w:color w:val="000000"/>
          <w:sz w:val="44"/>
          <w:lang w:eastAsia="zh-CN"/>
        </w:rPr>
      </w:pPr>
    </w:p>
    <w:p>
      <w:pPr>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石家庄市长安区委统战部202</w:t>
      </w:r>
      <w:r>
        <w:rPr>
          <w:rFonts w:hint="eastAsia" w:ascii="黑体" w:hAnsi="黑体" w:eastAsia="黑体" w:cs="黑体"/>
          <w:b/>
          <w:color w:val="000000"/>
          <w:sz w:val="44"/>
          <w:lang w:val="en-US" w:eastAsia="zh-CN"/>
        </w:rPr>
        <w:t>1</w:t>
      </w:r>
      <w:r>
        <w:rPr>
          <w:rFonts w:hint="eastAsia" w:ascii="黑体" w:hAnsi="黑体" w:eastAsia="黑体" w:cs="黑体"/>
          <w:b/>
          <w:color w:val="000000"/>
          <w:sz w:val="44"/>
          <w:lang w:eastAsia="zh-CN"/>
        </w:rPr>
        <w:t>年单位预算信息公开</w:t>
      </w:r>
    </w:p>
    <w:p>
      <w:pPr>
        <w:jc w:val="center"/>
        <w:outlineLvl w:val="0"/>
        <w:rPr>
          <w:rFonts w:hint="eastAsia" w:ascii="黑体" w:hAnsi="黑体" w:eastAsia="黑体" w:cs="黑体"/>
          <w:b/>
          <w:color w:val="000000"/>
          <w:sz w:val="44"/>
          <w:lang w:eastAsia="zh-CN"/>
        </w:rPr>
        <w:sectPr>
          <w:headerReference r:id="rId3" w:type="default"/>
          <w:footerReference r:id="rId4" w:type="default"/>
          <w:pgSz w:w="16838" w:h="11906" w:orient="landscape"/>
          <w:pgMar w:top="1800" w:right="1440" w:bottom="1800" w:left="1440" w:header="851" w:footer="992" w:gutter="0"/>
          <w:pgNumType w:fmt="numberInDash" w:start="1"/>
          <w:cols w:space="720" w:num="1"/>
          <w:docGrid w:type="lines" w:linePitch="312" w:charSpace="0"/>
        </w:sectPr>
      </w:pPr>
    </w:p>
    <w:p>
      <w:pPr>
        <w:ind w:left="0" w:leftChars="0" w:right="0" w:rightChars="0" w:firstLine="0" w:firstLineChars="0"/>
        <w:jc w:val="center"/>
        <w:rPr>
          <w:sz w:val="52"/>
          <w:szCs w:val="48"/>
        </w:rPr>
      </w:pPr>
    </w:p>
    <w:p>
      <w:pPr>
        <w:jc w:val="center"/>
        <w:outlineLvl w:val="0"/>
        <w:rPr>
          <w:rFonts w:hint="eastAsia" w:eastAsia="黑体"/>
          <w:lang w:eastAsia="zh-CN"/>
        </w:rPr>
      </w:pPr>
      <w:r>
        <w:rPr>
          <w:rFonts w:hint="eastAsia" w:ascii="黑体" w:hAnsi="黑体" w:eastAsia="黑体" w:cs="黑体"/>
          <w:b/>
          <w:color w:val="000000"/>
          <w:sz w:val="44"/>
          <w:lang w:eastAsia="zh-CN"/>
        </w:rPr>
        <w:t>石家庄市长安区委统战部</w:t>
      </w: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w:t>
      </w:r>
      <w:r>
        <w:rPr>
          <w:rFonts w:hint="eastAsia" w:ascii="黑体" w:hAnsi="黑体" w:eastAsia="黑体" w:cs="黑体"/>
          <w:b/>
          <w:color w:val="000000"/>
          <w:sz w:val="44"/>
          <w:lang w:eastAsia="zh-CN"/>
        </w:rPr>
        <w:t>目录</w:t>
      </w:r>
    </w:p>
    <w:p>
      <w:pPr>
        <w:jc w:val="center"/>
        <w:rPr>
          <w:rFonts w:eastAsia="Times New Roman"/>
        </w:rP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一、中共石家庄市长安区委统战部本级收支预算</w:t>
      </w:r>
      <w:r>
        <w:tab/>
      </w:r>
      <w:r>
        <w:rPr>
          <w:rFonts w:hint="eastAsia"/>
          <w:lang w:val="en-US" w:eastAsia="zh-CN"/>
        </w:rPr>
        <w:t>2</w:t>
      </w:r>
      <w:r>
        <w:rPr>
          <w:lang w:eastAsia="zh-CN"/>
        </w:rPr>
        <w:fldChar w:fldCharType="end"/>
      </w:r>
    </w:p>
    <w:p>
      <w:pPr>
        <w:sectPr>
          <w:footerReference r:id="rId5" w:type="default"/>
          <w:pgSz w:w="16840" w:h="11900" w:orient="landscape"/>
          <w:pgMar w:top="1587" w:right="1134" w:bottom="1361" w:left="1134" w:header="720" w:footer="720" w:gutter="0"/>
          <w:pgNumType w:start="1"/>
          <w:cols w:space="720" w:num="1"/>
        </w:sectPr>
      </w:pPr>
      <w:r>
        <w:fldChar w:fldCharType="end"/>
      </w:r>
    </w:p>
    <w:tbl>
      <w:tblPr>
        <w:tblStyle w:val="6"/>
        <w:tblpPr w:leftFromText="180" w:rightFromText="180" w:vertAnchor="text" w:horzAnchor="page" w:tblpX="2518" w:tblpY="-360"/>
        <w:tblOverlap w:val="never"/>
        <w:tblW w:w="11520" w:type="dxa"/>
        <w:tblInd w:w="0" w:type="dxa"/>
        <w:shd w:val="clear" w:color="auto" w:fill="auto"/>
        <w:tblLayout w:type="fixed"/>
        <w:tblCellMar>
          <w:top w:w="0" w:type="dxa"/>
          <w:left w:w="0" w:type="dxa"/>
          <w:bottom w:w="0" w:type="dxa"/>
          <w:right w:w="0" w:type="dxa"/>
        </w:tblCellMar>
      </w:tblPr>
      <w:tblGrid>
        <w:gridCol w:w="1170"/>
        <w:gridCol w:w="2895"/>
        <w:gridCol w:w="2385"/>
        <w:gridCol w:w="2970"/>
        <w:gridCol w:w="2100"/>
      </w:tblGrid>
      <w:tr>
        <w:tblPrEx>
          <w:shd w:val="clear" w:color="auto" w:fill="auto"/>
          <w:tblCellMar>
            <w:top w:w="0" w:type="dxa"/>
            <w:left w:w="0" w:type="dxa"/>
            <w:bottom w:w="0" w:type="dxa"/>
            <w:right w:w="0" w:type="dxa"/>
          </w:tblCellMar>
        </w:tblPrEx>
        <w:trPr>
          <w:trHeight w:val="760" w:hRule="atLeast"/>
        </w:trPr>
        <w:tc>
          <w:tcPr>
            <w:tcW w:w="11520"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部门预算收支总表</w:t>
            </w:r>
          </w:p>
        </w:tc>
      </w:tr>
      <w:tr>
        <w:tblPrEx>
          <w:shd w:val="clear" w:color="auto" w:fill="auto"/>
          <w:tblCellMar>
            <w:top w:w="0" w:type="dxa"/>
            <w:left w:w="0" w:type="dxa"/>
            <w:bottom w:w="0" w:type="dxa"/>
            <w:right w:w="0" w:type="dxa"/>
          </w:tblCellMar>
        </w:tblPrEx>
        <w:trPr>
          <w:trHeight w:val="520" w:hRule="atLeast"/>
        </w:trPr>
        <w:tc>
          <w:tcPr>
            <w:tcW w:w="6450" w:type="dxa"/>
            <w:gridSpan w:val="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297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10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3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52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50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tblPrEx>
          <w:shd w:val="clear" w:color="auto" w:fill="auto"/>
          <w:tblCellMar>
            <w:top w:w="0" w:type="dxa"/>
            <w:left w:w="0" w:type="dxa"/>
            <w:bottom w:w="0" w:type="dxa"/>
            <w:right w:w="0" w:type="dxa"/>
          </w:tblCellMar>
        </w:tblPrEx>
        <w:trPr>
          <w:trHeight w:val="3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四、财政专户管理资金收入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五、事业收入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六、事业单位经营收入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七、上级补助收入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八、附属单位上缴收入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九、其他收入</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二十七、债务还本支出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二十八、债务付息支出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二十九、债务发行费用支出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三十、抗疫特别国债安排的支出</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上年结转结余</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年终结转结余</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21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r>
    </w:tbl>
    <w:p>
      <w:pPr>
        <w:keepNext w:val="0"/>
        <w:keepLines w:val="0"/>
        <w:pageBreakBefore w:val="0"/>
        <w:widowControl/>
        <w:kinsoku/>
        <w:wordWrap/>
        <w:overflowPunct/>
        <w:topLinePunct w:val="0"/>
        <w:autoSpaceDE/>
        <w:autoSpaceDN/>
        <w:bidi w:val="0"/>
        <w:adjustRightInd/>
        <w:snapToGrid/>
        <w:spacing w:before="0" w:beforeLines="0" w:after="468" w:afterLines="150" w:line="240" w:lineRule="auto"/>
        <w:ind w:left="0" w:leftChars="0" w:right="0" w:rightChars="0" w:firstLine="0" w:firstLineChars="0"/>
        <w:jc w:val="both"/>
        <w:textAlignment w:val="auto"/>
        <w:outlineLvl w:val="9"/>
        <w:rPr>
          <w:rFonts w:hint="eastAsia" w:ascii="SimSun-Identity-H" w:hAnsi="SimSun-Identity-H" w:eastAsia="SimSun-Identity-H"/>
          <w:sz w:val="40"/>
          <w:szCs w:val="24"/>
          <w:lang w:val="en-US" w:eastAsia="zh-CN"/>
        </w:rPr>
      </w:pPr>
      <w:r>
        <w:rPr>
          <w:rFonts w:hint="eastAsia" w:ascii="SimSun-Identity-H" w:hAnsi="SimSun-Identity-H" w:eastAsia="SimSun-Identity-H"/>
          <w:sz w:val="40"/>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before="0" w:beforeLines="0" w:after="468" w:afterLines="150" w:line="240" w:lineRule="auto"/>
        <w:ind w:left="0" w:leftChars="0" w:right="0" w:rightChars="0" w:firstLine="0" w:firstLineChars="0"/>
        <w:jc w:val="both"/>
        <w:textAlignment w:val="auto"/>
        <w:outlineLvl w:val="9"/>
        <w:rPr>
          <w:rFonts w:hint="eastAsia" w:ascii="黑体" w:hAnsi="黑体" w:eastAsia="黑体" w:cs="黑体"/>
          <w:sz w:val="40"/>
          <w:szCs w:val="40"/>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tbl>
      <w:tblPr>
        <w:tblStyle w:val="6"/>
        <w:tblpPr w:leftFromText="180" w:rightFromText="180" w:vertAnchor="text" w:horzAnchor="page" w:tblpX="2548" w:tblpY="992"/>
        <w:tblOverlap w:val="never"/>
        <w:tblW w:w="11520" w:type="dxa"/>
        <w:tblInd w:w="0" w:type="dxa"/>
        <w:shd w:val="clear" w:color="auto" w:fill="auto"/>
        <w:tblLayout w:type="fixed"/>
        <w:tblCellMar>
          <w:top w:w="0" w:type="dxa"/>
          <w:left w:w="0" w:type="dxa"/>
          <w:bottom w:w="0" w:type="dxa"/>
          <w:right w:w="0" w:type="dxa"/>
        </w:tblCellMar>
      </w:tblPr>
      <w:tblGrid>
        <w:gridCol w:w="511"/>
        <w:gridCol w:w="711"/>
        <w:gridCol w:w="2910"/>
        <w:gridCol w:w="908"/>
        <w:gridCol w:w="840"/>
        <w:gridCol w:w="900"/>
        <w:gridCol w:w="825"/>
        <w:gridCol w:w="495"/>
        <w:gridCol w:w="480"/>
        <w:gridCol w:w="825"/>
        <w:gridCol w:w="975"/>
        <w:gridCol w:w="480"/>
        <w:gridCol w:w="660"/>
      </w:tblGrid>
      <w:tr>
        <w:tblPrEx>
          <w:shd w:val="clear" w:color="auto" w:fill="auto"/>
          <w:tblCellMar>
            <w:top w:w="0" w:type="dxa"/>
            <w:left w:w="0" w:type="dxa"/>
            <w:bottom w:w="0" w:type="dxa"/>
            <w:right w:w="0" w:type="dxa"/>
          </w:tblCellMar>
        </w:tblPrEx>
        <w:trPr>
          <w:trHeight w:val="940" w:hRule="atLeast"/>
        </w:trPr>
        <w:tc>
          <w:tcPr>
            <w:tcW w:w="11520" w:type="dxa"/>
            <w:gridSpan w:val="1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部门预算收入总表</w:t>
            </w:r>
          </w:p>
        </w:tc>
      </w:tr>
      <w:tr>
        <w:tblPrEx>
          <w:shd w:val="clear" w:color="auto" w:fill="auto"/>
          <w:tblCellMar>
            <w:top w:w="0" w:type="dxa"/>
            <w:left w:w="0" w:type="dxa"/>
            <w:bottom w:w="0" w:type="dxa"/>
            <w:right w:w="0" w:type="dxa"/>
          </w:tblCellMar>
        </w:tblPrEx>
        <w:trPr>
          <w:trHeight w:val="400" w:hRule="atLeast"/>
        </w:trPr>
        <w:tc>
          <w:tcPr>
            <w:tcW w:w="8580"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180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14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540" w:hRule="atLeast"/>
        </w:trPr>
        <w:tc>
          <w:tcPr>
            <w:tcW w:w="5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6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功能分类科目</w:t>
            </w:r>
          </w:p>
        </w:tc>
        <w:tc>
          <w:tcPr>
            <w:tcW w:w="9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582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w:t>
            </w:r>
          </w:p>
        </w:tc>
      </w:tr>
      <w:tr>
        <w:tblPrEx>
          <w:shd w:val="clear" w:color="auto" w:fill="auto"/>
          <w:tblCellMar>
            <w:top w:w="0" w:type="dxa"/>
            <w:left w:w="0" w:type="dxa"/>
            <w:bottom w:w="0" w:type="dxa"/>
            <w:right w:w="0" w:type="dxa"/>
          </w:tblCellMar>
        </w:tblPrEx>
        <w:trPr>
          <w:trHeight w:val="780" w:hRule="atLeast"/>
        </w:trPr>
        <w:tc>
          <w:tcPr>
            <w:tcW w:w="5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9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财政拨款收入</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财政专户收入</w:t>
            </w: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事业收入</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经营收入</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上级补助收入</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附属单位上缴收入</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其他收入</w:t>
            </w: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民族事务</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2012304</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民族工作专项</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统战事务</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2013404</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宗教事务</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2013499</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其他统战事务支出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5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7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2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tbl>
      <w:tblPr>
        <w:tblStyle w:val="6"/>
        <w:tblpPr w:leftFromText="180" w:rightFromText="180" w:vertAnchor="text" w:horzAnchor="page" w:tblpX="2893" w:tblpY="914"/>
        <w:tblOverlap w:val="never"/>
        <w:tblW w:w="11295" w:type="dxa"/>
        <w:tblInd w:w="0" w:type="dxa"/>
        <w:shd w:val="clear" w:color="auto" w:fill="auto"/>
        <w:tblLayout w:type="fixed"/>
        <w:tblCellMar>
          <w:top w:w="0" w:type="dxa"/>
          <w:left w:w="0" w:type="dxa"/>
          <w:bottom w:w="0" w:type="dxa"/>
          <w:right w:w="0" w:type="dxa"/>
        </w:tblCellMar>
      </w:tblPr>
      <w:tblGrid>
        <w:gridCol w:w="615"/>
        <w:gridCol w:w="1065"/>
        <w:gridCol w:w="3405"/>
        <w:gridCol w:w="1275"/>
        <w:gridCol w:w="825"/>
        <w:gridCol w:w="975"/>
        <w:gridCol w:w="1125"/>
        <w:gridCol w:w="915"/>
        <w:gridCol w:w="1095"/>
      </w:tblGrid>
      <w:tr>
        <w:tblPrEx>
          <w:shd w:val="clear" w:color="auto" w:fill="auto"/>
          <w:tblCellMar>
            <w:top w:w="0" w:type="dxa"/>
            <w:left w:w="0" w:type="dxa"/>
            <w:bottom w:w="0" w:type="dxa"/>
            <w:right w:w="0" w:type="dxa"/>
          </w:tblCellMar>
        </w:tblPrEx>
        <w:trPr>
          <w:trHeight w:val="860" w:hRule="atLeast"/>
        </w:trPr>
        <w:tc>
          <w:tcPr>
            <w:tcW w:w="11295"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部门预算支出总表</w:t>
            </w:r>
          </w:p>
        </w:tc>
      </w:tr>
      <w:tr>
        <w:tblPrEx>
          <w:shd w:val="clear" w:color="auto" w:fill="auto"/>
          <w:tblCellMar>
            <w:top w:w="0" w:type="dxa"/>
            <w:left w:w="0" w:type="dxa"/>
            <w:bottom w:w="0" w:type="dxa"/>
            <w:right w:w="0" w:type="dxa"/>
          </w:tblCellMar>
        </w:tblPrEx>
        <w:trPr>
          <w:trHeight w:val="560" w:hRule="atLeast"/>
        </w:trPr>
        <w:tc>
          <w:tcPr>
            <w:tcW w:w="7185"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210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01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400"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经营支出</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上缴上级支出</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对附属单位补助支出</w:t>
            </w:r>
          </w:p>
        </w:tc>
      </w:tr>
      <w:tr>
        <w:tblPrEx>
          <w:shd w:val="clear" w:color="auto" w:fill="auto"/>
          <w:tblCellMar>
            <w:top w:w="0" w:type="dxa"/>
            <w:left w:w="0" w:type="dxa"/>
            <w:bottom w:w="0" w:type="dxa"/>
            <w:right w:w="0" w:type="dxa"/>
          </w:tblCellMar>
        </w:tblPrEx>
        <w:trPr>
          <w:trHeight w:val="4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156.40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民族事务</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2012304</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民族工作专项</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统战事务</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2013404</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宗教事务</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2013499</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其他统战事务支出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hint="eastAsia" w:ascii="方正小标宋_GBK" w:eastAsia="方正小标宋_GBK"/>
          <w:sz w:val="44"/>
          <w:lang w:val="en-US" w:eastAsia="zh-CN"/>
        </w:rPr>
      </w:pPr>
      <w:r>
        <w:rPr>
          <w:rFonts w:hint="eastAsia" w:ascii="方正小标宋_GBK" w:eastAsia="方正小标宋_GBK"/>
          <w:sz w:val="44"/>
          <w:lang w:val="en-US" w:eastAsia="zh-CN"/>
        </w:rPr>
        <w:t xml:space="preserve">   </w:t>
      </w:r>
    </w:p>
    <w:p>
      <w:pPr>
        <w:jc w:val="center"/>
        <w:rPr>
          <w:rFonts w:hint="default" w:ascii="方正小标宋_GBK" w:eastAsia="方正小标宋_GBK"/>
          <w:sz w:val="44"/>
          <w:lang w:val="en-US" w:eastAsia="zh-CN"/>
        </w:rPr>
      </w:pPr>
    </w:p>
    <w:tbl>
      <w:tblPr>
        <w:tblStyle w:val="6"/>
        <w:tblpPr w:leftFromText="180" w:rightFromText="180" w:vertAnchor="text" w:horzAnchor="page" w:tblpX="2893" w:tblpY="865"/>
        <w:tblOverlap w:val="never"/>
        <w:tblW w:w="11250" w:type="dxa"/>
        <w:tblInd w:w="0" w:type="dxa"/>
        <w:shd w:val="clear" w:color="auto" w:fill="auto"/>
        <w:tblLayout w:type="fixed"/>
        <w:tblCellMar>
          <w:top w:w="0" w:type="dxa"/>
          <w:left w:w="0" w:type="dxa"/>
          <w:bottom w:w="0" w:type="dxa"/>
          <w:right w:w="0" w:type="dxa"/>
        </w:tblCellMar>
      </w:tblPr>
      <w:tblGrid>
        <w:gridCol w:w="720"/>
        <w:gridCol w:w="2490"/>
        <w:gridCol w:w="1860"/>
        <w:gridCol w:w="2400"/>
        <w:gridCol w:w="930"/>
        <w:gridCol w:w="900"/>
        <w:gridCol w:w="825"/>
        <w:gridCol w:w="1125"/>
      </w:tblGrid>
      <w:tr>
        <w:tblPrEx>
          <w:shd w:val="clear" w:color="auto" w:fill="auto"/>
          <w:tblCellMar>
            <w:top w:w="0" w:type="dxa"/>
            <w:left w:w="0" w:type="dxa"/>
            <w:bottom w:w="0" w:type="dxa"/>
            <w:right w:w="0" w:type="dxa"/>
          </w:tblCellMar>
        </w:tblPrEx>
        <w:trPr>
          <w:trHeight w:val="760" w:hRule="atLeast"/>
        </w:trPr>
        <w:tc>
          <w:tcPr>
            <w:tcW w:w="1125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部门预算财政拨款收支总表</w:t>
            </w:r>
          </w:p>
        </w:tc>
      </w:tr>
      <w:tr>
        <w:tblPrEx>
          <w:shd w:val="clear" w:color="auto" w:fill="auto"/>
          <w:tblCellMar>
            <w:top w:w="0" w:type="dxa"/>
            <w:left w:w="0" w:type="dxa"/>
            <w:bottom w:w="0" w:type="dxa"/>
            <w:right w:w="0" w:type="dxa"/>
          </w:tblCellMar>
        </w:tblPrEx>
        <w:trPr>
          <w:trHeight w:val="440" w:hRule="atLeast"/>
        </w:trPr>
        <w:tc>
          <w:tcPr>
            <w:tcW w:w="7470"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183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950"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270" w:hRule="atLeast"/>
        </w:trPr>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3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61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tblPrEx>
          <w:shd w:val="clear" w:color="auto" w:fill="auto"/>
          <w:tblCellMar>
            <w:top w:w="0" w:type="dxa"/>
            <w:left w:w="0" w:type="dxa"/>
            <w:bottom w:w="0" w:type="dxa"/>
            <w:right w:w="0" w:type="dxa"/>
          </w:tblCellMar>
        </w:tblPrEx>
        <w:trPr>
          <w:trHeight w:val="820" w:hRule="atLeast"/>
        </w:trPr>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w:t>
            </w: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政府性基金预算财政拨款</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r>
      <w:tr>
        <w:tblPrEx>
          <w:shd w:val="clear" w:color="auto" w:fill="auto"/>
          <w:tblCellMar>
            <w:top w:w="0" w:type="dxa"/>
            <w:left w:w="0" w:type="dxa"/>
            <w:bottom w:w="0" w:type="dxa"/>
            <w:right w:w="0"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二十七、债务还本支出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二十八、债务付息支出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二十九、债务发行费用支出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三十、抗疫特别国债安排的支出</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56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年初财政拨款结转和结余</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年末财政拨款结转和结余</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6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6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6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2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bl>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tbl>
      <w:tblPr>
        <w:tblStyle w:val="6"/>
        <w:tblpPr w:leftFromText="180" w:rightFromText="180" w:vertAnchor="text" w:horzAnchor="page" w:tblpX="2758" w:tblpY="860"/>
        <w:tblOverlap w:val="never"/>
        <w:tblW w:w="11715" w:type="dxa"/>
        <w:tblInd w:w="0" w:type="dxa"/>
        <w:shd w:val="clear" w:color="auto" w:fill="auto"/>
        <w:tblLayout w:type="fixed"/>
        <w:tblCellMar>
          <w:top w:w="0" w:type="dxa"/>
          <w:left w:w="0" w:type="dxa"/>
          <w:bottom w:w="0" w:type="dxa"/>
          <w:right w:w="0" w:type="dxa"/>
        </w:tblCellMar>
      </w:tblPr>
      <w:tblGrid>
        <w:gridCol w:w="1035"/>
        <w:gridCol w:w="1575"/>
        <w:gridCol w:w="3120"/>
        <w:gridCol w:w="1245"/>
        <w:gridCol w:w="1275"/>
        <w:gridCol w:w="1305"/>
        <w:gridCol w:w="1050"/>
        <w:gridCol w:w="1110"/>
      </w:tblGrid>
      <w:tr>
        <w:tblPrEx>
          <w:shd w:val="clear" w:color="auto" w:fill="auto"/>
          <w:tblCellMar>
            <w:top w:w="0" w:type="dxa"/>
            <w:left w:w="0" w:type="dxa"/>
            <w:bottom w:w="0" w:type="dxa"/>
            <w:right w:w="0" w:type="dxa"/>
          </w:tblCellMar>
        </w:tblPrEx>
        <w:trPr>
          <w:trHeight w:val="780" w:hRule="atLeast"/>
        </w:trPr>
        <w:tc>
          <w:tcPr>
            <w:tcW w:w="1171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部门预算一般公共预算财政拨款支出表</w:t>
            </w:r>
          </w:p>
        </w:tc>
      </w:tr>
      <w:tr>
        <w:tblPrEx>
          <w:shd w:val="clear" w:color="auto" w:fill="auto"/>
          <w:tblCellMar>
            <w:top w:w="0" w:type="dxa"/>
            <w:left w:w="0" w:type="dxa"/>
            <w:bottom w:w="0" w:type="dxa"/>
            <w:right w:w="0" w:type="dxa"/>
          </w:tblCellMar>
        </w:tblPrEx>
        <w:trPr>
          <w:trHeight w:val="660" w:hRule="atLeast"/>
        </w:trPr>
        <w:tc>
          <w:tcPr>
            <w:tcW w:w="8250" w:type="dxa"/>
            <w:gridSpan w:val="5"/>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2355"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11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400" w:hRule="atLeast"/>
        </w:trPr>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6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6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shd w:val="clear" w:color="auto" w:fill="auto"/>
          <w:tblCellMar>
            <w:top w:w="0" w:type="dxa"/>
            <w:left w:w="0" w:type="dxa"/>
            <w:bottom w:w="0" w:type="dxa"/>
            <w:right w:w="0" w:type="dxa"/>
          </w:tblCellMar>
        </w:tblPrEx>
        <w:trPr>
          <w:trHeight w:val="400" w:hRule="atLeast"/>
        </w:trPr>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公用经费</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161.40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156.40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140.28</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16.12</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123.70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103.79</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民族事务</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2012304</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民族工作专项</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统战事务</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103.79</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103.79</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2013404</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宗教事务</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2013499</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其他统战事务支出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19.82</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21.03</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19.82</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10.01</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8.80</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70" w:hRule="atLeast"/>
        </w:trPr>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1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jc w:val="center"/>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tbl>
      <w:tblPr>
        <w:tblStyle w:val="6"/>
        <w:tblpPr w:leftFromText="180" w:rightFromText="180" w:vertAnchor="text" w:horzAnchor="page" w:tblpX="2818" w:tblpY="965"/>
        <w:tblOverlap w:val="never"/>
        <w:tblW w:w="10665" w:type="dxa"/>
        <w:tblInd w:w="0" w:type="dxa"/>
        <w:shd w:val="clear" w:color="auto" w:fill="auto"/>
        <w:tblLayout w:type="fixed"/>
        <w:tblCellMar>
          <w:top w:w="0" w:type="dxa"/>
          <w:left w:w="0" w:type="dxa"/>
          <w:bottom w:w="0" w:type="dxa"/>
          <w:right w:w="0" w:type="dxa"/>
        </w:tblCellMar>
      </w:tblPr>
      <w:tblGrid>
        <w:gridCol w:w="885"/>
        <w:gridCol w:w="1035"/>
        <w:gridCol w:w="2970"/>
        <w:gridCol w:w="1995"/>
        <w:gridCol w:w="1800"/>
        <w:gridCol w:w="1980"/>
      </w:tblGrid>
      <w:tr>
        <w:tblPrEx>
          <w:shd w:val="clear" w:color="auto" w:fill="auto"/>
          <w:tblCellMar>
            <w:top w:w="0" w:type="dxa"/>
            <w:left w:w="0" w:type="dxa"/>
            <w:bottom w:w="0" w:type="dxa"/>
            <w:right w:w="0" w:type="dxa"/>
          </w:tblCellMar>
        </w:tblPrEx>
        <w:trPr>
          <w:trHeight w:val="1080" w:hRule="atLeast"/>
        </w:trPr>
        <w:tc>
          <w:tcPr>
            <w:tcW w:w="10665"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部门预算一般公共预算财政拨款基本支出表</w:t>
            </w:r>
          </w:p>
        </w:tc>
      </w:tr>
      <w:tr>
        <w:tblPrEx>
          <w:shd w:val="clear" w:color="auto" w:fill="auto"/>
          <w:tblCellMar>
            <w:top w:w="0" w:type="dxa"/>
            <w:left w:w="0" w:type="dxa"/>
            <w:bottom w:w="0" w:type="dxa"/>
            <w:right w:w="0" w:type="dxa"/>
          </w:tblCellMar>
        </w:tblPrEx>
        <w:trPr>
          <w:trHeight w:val="960" w:hRule="atLeast"/>
        </w:trPr>
        <w:tc>
          <w:tcPr>
            <w:tcW w:w="6885"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180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400" w:hRule="atLeast"/>
        </w:trPr>
        <w:tc>
          <w:tcPr>
            <w:tcW w:w="8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支出部门经济分类科目</w:t>
            </w:r>
          </w:p>
        </w:tc>
        <w:tc>
          <w:tcPr>
            <w:tcW w:w="57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一般公共预算基本支出</w:t>
            </w:r>
          </w:p>
        </w:tc>
      </w:tr>
      <w:tr>
        <w:tblPrEx>
          <w:shd w:val="clear" w:color="auto" w:fill="auto"/>
          <w:tblCellMar>
            <w:top w:w="0" w:type="dxa"/>
            <w:left w:w="0" w:type="dxa"/>
            <w:bottom w:w="0" w:type="dxa"/>
            <w:right w:w="0" w:type="dxa"/>
          </w:tblCellMar>
        </w:tblPrEx>
        <w:trPr>
          <w:trHeight w:val="400" w:hRule="atLeast"/>
        </w:trPr>
        <w:tc>
          <w:tcPr>
            <w:tcW w:w="8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公用经费</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156.40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140.28</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16.12</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工资福利支出</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89.20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89.20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基本工资</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44.75</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44.75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津贴补贴</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15.22</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15.22</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30103</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奖金</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1.39</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30108</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11.02</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30110</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职工基本医疗保险缴费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10.70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其他社会保障缴费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30113</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5.97</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商品和服务支出</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16.12</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16.12</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0.40</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印刷费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0.80</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30207</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邮电费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4.08</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4.08</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差旅费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30213</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维修(护)费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0.40</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30215</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0.12</w:t>
            </w:r>
          </w:p>
        </w:tc>
      </w:tr>
      <w:tr>
        <w:tblPrEx>
          <w:shd w:val="clear" w:color="auto" w:fill="auto"/>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30216</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培训费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0.39</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0.39</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30228</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0.59</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0.59</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30229</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福利费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0.49</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0.49</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30231</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公务用车运行维护费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30239</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其他交通费用</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4.98</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4.98</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30299</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其他商品和服务支出</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1.25</w:t>
            </w: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对个人和家庭的补助</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51.08</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51.08</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30302</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退休费</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8.80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30309</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奖励金</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39.88</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39.88</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400" w:hRule="atLeast"/>
        </w:trPr>
        <w:tc>
          <w:tcPr>
            <w:tcW w:w="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30399</w:t>
            </w:r>
          </w:p>
        </w:tc>
        <w:tc>
          <w:tcPr>
            <w:tcW w:w="29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其他对个人和家庭的补助</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pStyle w:val="2"/>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p>
      <w:pPr>
        <w:jc w:val="center"/>
        <w:rPr>
          <w:rFonts w:hint="eastAsia" w:ascii="方正小标宋_GBK" w:eastAsia="方正小标宋_GBK"/>
          <w:sz w:val="44"/>
        </w:rPr>
      </w:pPr>
    </w:p>
    <w:tbl>
      <w:tblPr>
        <w:tblStyle w:val="6"/>
        <w:tblpPr w:leftFromText="180" w:rightFromText="180" w:vertAnchor="text" w:horzAnchor="page" w:tblpX="2953" w:tblpY="892"/>
        <w:tblOverlap w:val="never"/>
        <w:tblW w:w="10455" w:type="dxa"/>
        <w:tblInd w:w="0" w:type="dxa"/>
        <w:shd w:val="clear" w:color="auto" w:fill="auto"/>
        <w:tblLayout w:type="fixed"/>
        <w:tblCellMar>
          <w:top w:w="0" w:type="dxa"/>
          <w:left w:w="0" w:type="dxa"/>
          <w:bottom w:w="0" w:type="dxa"/>
          <w:right w:w="0" w:type="dxa"/>
        </w:tblCellMar>
      </w:tblPr>
      <w:tblGrid>
        <w:gridCol w:w="1350"/>
        <w:gridCol w:w="1590"/>
        <w:gridCol w:w="1815"/>
        <w:gridCol w:w="1770"/>
        <w:gridCol w:w="1800"/>
        <w:gridCol w:w="2130"/>
      </w:tblGrid>
      <w:tr>
        <w:tblPrEx>
          <w:shd w:val="clear" w:color="auto" w:fill="auto"/>
          <w:tblCellMar>
            <w:top w:w="0" w:type="dxa"/>
            <w:left w:w="0" w:type="dxa"/>
            <w:bottom w:w="0" w:type="dxa"/>
            <w:right w:w="0" w:type="dxa"/>
          </w:tblCellMar>
        </w:tblPrEx>
        <w:trPr>
          <w:trHeight w:val="1120" w:hRule="atLeast"/>
        </w:trPr>
        <w:tc>
          <w:tcPr>
            <w:tcW w:w="10455"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部门预算政府基金预算财政拨款支出表</w:t>
            </w:r>
          </w:p>
        </w:tc>
      </w:tr>
      <w:tr>
        <w:tblPrEx>
          <w:tblCellMar>
            <w:top w:w="0" w:type="dxa"/>
            <w:left w:w="0" w:type="dxa"/>
            <w:bottom w:w="0" w:type="dxa"/>
            <w:right w:w="0" w:type="dxa"/>
          </w:tblCellMar>
        </w:tblPrEx>
        <w:trPr>
          <w:trHeight w:val="840" w:hRule="atLeast"/>
        </w:trPr>
        <w:tc>
          <w:tcPr>
            <w:tcW w:w="6525"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180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13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CellMar>
            <w:top w:w="0" w:type="dxa"/>
            <w:left w:w="0" w:type="dxa"/>
            <w:bottom w:w="0" w:type="dxa"/>
            <w:right w:w="0" w:type="dxa"/>
          </w:tblCellMar>
        </w:tblPrEx>
        <w:trPr>
          <w:trHeight w:val="36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4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tblCellMar>
            <w:top w:w="0" w:type="dxa"/>
            <w:left w:w="0" w:type="dxa"/>
            <w:bottom w:w="0" w:type="dxa"/>
            <w:right w:w="0" w:type="dxa"/>
          </w:tblCellMar>
        </w:tblPrEx>
        <w:trPr>
          <w:trHeight w:val="36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20" w:hRule="atLeast"/>
        </w:trPr>
        <w:tc>
          <w:tcPr>
            <w:tcW w:w="10455"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注:此表无数据，空表列示</w:t>
            </w:r>
          </w:p>
        </w:tc>
      </w:tr>
    </w:tbl>
    <w:p>
      <w:pPr>
        <w:jc w:val="center"/>
        <w:rPr>
          <w:rFonts w:hint="eastAsia" w:ascii="方正小标宋_GBK" w:eastAsia="方正小标宋_GBK"/>
          <w:sz w:val="44"/>
          <w:lang w:val="en-US" w:eastAsia="zh-CN"/>
        </w:rPr>
      </w:pPr>
      <w:r>
        <w:rPr>
          <w:rFonts w:hint="eastAsia" w:ascii="方正小标宋_GBK" w:eastAsia="方正小标宋_GBK"/>
          <w:sz w:val="44"/>
          <w:lang w:val="en-US" w:eastAsia="zh-CN"/>
        </w:rPr>
        <w:t xml:space="preserve">      </w:t>
      </w:r>
    </w:p>
    <w:p>
      <w:pPr>
        <w:jc w:val="center"/>
        <w:rPr>
          <w:rFonts w:hint="default" w:ascii="方正小标宋_GBK" w:eastAsia="方正小标宋_GBK"/>
          <w:sz w:val="44"/>
          <w:lang w:val="en-US" w:eastAsia="zh-CN"/>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tbl>
      <w:tblPr>
        <w:tblStyle w:val="6"/>
        <w:tblpPr w:leftFromText="180" w:rightFromText="180" w:vertAnchor="text" w:horzAnchor="page" w:tblpX="2908" w:tblpY="737"/>
        <w:tblOverlap w:val="never"/>
        <w:tblW w:w="10950" w:type="dxa"/>
        <w:tblInd w:w="0" w:type="dxa"/>
        <w:shd w:val="clear" w:color="auto" w:fill="auto"/>
        <w:tblLayout w:type="fixed"/>
        <w:tblCellMar>
          <w:top w:w="0" w:type="dxa"/>
          <w:left w:w="0" w:type="dxa"/>
          <w:bottom w:w="0" w:type="dxa"/>
          <w:right w:w="0" w:type="dxa"/>
        </w:tblCellMar>
      </w:tblPr>
      <w:tblGrid>
        <w:gridCol w:w="1230"/>
        <w:gridCol w:w="2325"/>
        <w:gridCol w:w="1950"/>
        <w:gridCol w:w="1770"/>
        <w:gridCol w:w="2010"/>
        <w:gridCol w:w="1665"/>
      </w:tblGrid>
      <w:tr>
        <w:tblPrEx>
          <w:shd w:val="clear" w:color="auto" w:fill="auto"/>
          <w:tblCellMar>
            <w:top w:w="0" w:type="dxa"/>
            <w:left w:w="0" w:type="dxa"/>
            <w:bottom w:w="0" w:type="dxa"/>
            <w:right w:w="0" w:type="dxa"/>
          </w:tblCellMar>
        </w:tblPrEx>
        <w:trPr>
          <w:trHeight w:val="1020" w:hRule="atLeast"/>
        </w:trPr>
        <w:tc>
          <w:tcPr>
            <w:tcW w:w="1095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部门预算国有资本经营预算财政拨款支出表</w:t>
            </w:r>
          </w:p>
        </w:tc>
      </w:tr>
      <w:tr>
        <w:tblPrEx>
          <w:tblCellMar>
            <w:top w:w="0" w:type="dxa"/>
            <w:left w:w="0" w:type="dxa"/>
            <w:bottom w:w="0" w:type="dxa"/>
            <w:right w:w="0" w:type="dxa"/>
          </w:tblCellMar>
        </w:tblPrEx>
        <w:trPr>
          <w:trHeight w:val="780" w:hRule="atLeast"/>
        </w:trPr>
        <w:tc>
          <w:tcPr>
            <w:tcW w:w="7275"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201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66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CellMar>
            <w:top w:w="0" w:type="dxa"/>
            <w:left w:w="0" w:type="dxa"/>
            <w:bottom w:w="0" w:type="dxa"/>
            <w:right w:w="0" w:type="dxa"/>
          </w:tblCellMar>
        </w:tblPrEx>
        <w:trPr>
          <w:trHeight w:val="540"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20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tblPrEx>
          <w:tblCellMar>
            <w:top w:w="0" w:type="dxa"/>
            <w:left w:w="0" w:type="dxa"/>
            <w:bottom w:w="0" w:type="dxa"/>
            <w:right w:w="0" w:type="dxa"/>
          </w:tblCellMar>
        </w:tblPrEx>
        <w:trPr>
          <w:trHeight w:val="540"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58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40"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23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920" w:hRule="atLeast"/>
        </w:trPr>
        <w:tc>
          <w:tcPr>
            <w:tcW w:w="1095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注：此表无数据，空表列示</w:t>
            </w:r>
          </w:p>
        </w:tc>
      </w:tr>
    </w:tbl>
    <w:p>
      <w:pPr>
        <w:pStyle w:val="2"/>
        <w:rPr>
          <w:rFonts w:hint="eastAsia" w:ascii="方正小标宋_GBK" w:eastAsia="方正小标宋_GBK"/>
          <w:sz w:val="44"/>
          <w:lang w:val="en-US" w:eastAsia="zh-CN"/>
        </w:rPr>
      </w:pPr>
      <w:r>
        <w:rPr>
          <w:rFonts w:hint="eastAsia" w:ascii="方正小标宋_GBK" w:eastAsia="方正小标宋_GBK"/>
          <w:sz w:val="44"/>
          <w:lang w:val="en-US" w:eastAsia="zh-CN"/>
        </w:rPr>
        <w:t xml:space="preserve">               </w:t>
      </w:r>
    </w:p>
    <w:p>
      <w:pPr>
        <w:pStyle w:val="2"/>
        <w:rPr>
          <w:rFonts w:hint="default" w:ascii="方正小标宋_GBK" w:eastAsia="方正小标宋_GBK"/>
          <w:sz w:val="44"/>
          <w:lang w:val="en-US" w:eastAsia="zh-CN"/>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pStyle w:val="2"/>
        <w:rPr>
          <w:rFonts w:hint="eastAsia" w:ascii="方正小标宋_GBK" w:eastAsia="方正小标宋_GBK"/>
          <w:sz w:val="44"/>
        </w:rPr>
      </w:pPr>
    </w:p>
    <w:p>
      <w:pPr>
        <w:jc w:val="center"/>
        <w:rPr>
          <w:rFonts w:hint="eastAsia" w:ascii="方正小标宋_GBK" w:eastAsia="方正小标宋_GBK"/>
          <w:sz w:val="44"/>
        </w:rPr>
      </w:pPr>
    </w:p>
    <w:tbl>
      <w:tblPr>
        <w:tblStyle w:val="6"/>
        <w:tblpPr w:leftFromText="180" w:rightFromText="180" w:vertAnchor="text" w:horzAnchor="page" w:tblpX="1813" w:tblpY="823"/>
        <w:tblOverlap w:val="never"/>
        <w:tblW w:w="12507" w:type="dxa"/>
        <w:tblInd w:w="0" w:type="dxa"/>
        <w:shd w:val="clear" w:color="auto" w:fill="auto"/>
        <w:tblLayout w:type="fixed"/>
        <w:tblCellMar>
          <w:top w:w="0" w:type="dxa"/>
          <w:left w:w="0" w:type="dxa"/>
          <w:bottom w:w="0" w:type="dxa"/>
          <w:right w:w="0" w:type="dxa"/>
        </w:tblCellMar>
      </w:tblPr>
      <w:tblGrid>
        <w:gridCol w:w="1080"/>
        <w:gridCol w:w="3615"/>
        <w:gridCol w:w="1530"/>
        <w:gridCol w:w="2085"/>
        <w:gridCol w:w="1905"/>
        <w:gridCol w:w="2292"/>
      </w:tblGrid>
      <w:tr>
        <w:tblPrEx>
          <w:shd w:val="clear" w:color="auto" w:fill="auto"/>
          <w:tblCellMar>
            <w:top w:w="0" w:type="dxa"/>
            <w:left w:w="0" w:type="dxa"/>
            <w:bottom w:w="0" w:type="dxa"/>
            <w:right w:w="0" w:type="dxa"/>
          </w:tblCellMar>
        </w:tblPrEx>
        <w:trPr>
          <w:trHeight w:val="1020" w:hRule="atLeast"/>
        </w:trPr>
        <w:tc>
          <w:tcPr>
            <w:tcW w:w="12507"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部门预算财政拨款“三公”经费支出表</w:t>
            </w:r>
          </w:p>
        </w:tc>
      </w:tr>
      <w:tr>
        <w:tblPrEx>
          <w:shd w:val="clear" w:color="auto" w:fill="auto"/>
          <w:tblCellMar>
            <w:top w:w="0" w:type="dxa"/>
            <w:left w:w="0" w:type="dxa"/>
            <w:bottom w:w="0" w:type="dxa"/>
            <w:right w:w="0" w:type="dxa"/>
          </w:tblCellMar>
        </w:tblPrEx>
        <w:trPr>
          <w:trHeight w:val="760" w:hRule="atLeast"/>
        </w:trPr>
        <w:tc>
          <w:tcPr>
            <w:tcW w:w="8310" w:type="dxa"/>
            <w:gridSpan w:val="4"/>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预算单位编码及名称：[213]中共石家庄市长安区委统战部</w:t>
            </w:r>
          </w:p>
        </w:tc>
        <w:tc>
          <w:tcPr>
            <w:tcW w:w="190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292"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shd w:val="clear" w:color="auto" w:fill="auto"/>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6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78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资金性质</w:t>
            </w:r>
          </w:p>
        </w:tc>
      </w:tr>
      <w:tr>
        <w:tblPrEx>
          <w:shd w:val="clear" w:color="auto" w:fill="auto"/>
          <w:tblCellMar>
            <w:top w:w="0" w:type="dxa"/>
            <w:left w:w="0" w:type="dxa"/>
            <w:bottom w:w="0" w:type="dxa"/>
            <w:right w:w="0" w:type="dxa"/>
          </w:tblCellMar>
        </w:tblPrEx>
        <w:trPr>
          <w:trHeight w:val="88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6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政府性基金财政拨款</w:t>
            </w: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“三公”经费小计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一、因公出国（境）费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其中：教学科研人员因公出国（境）费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其他因公出国（境）费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二、公务用车购置及运维费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其中：公务用车购置费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公务用车运行维护费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2.50</w:t>
            </w: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6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3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三、公务接待费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1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2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jc w:val="center"/>
        <w:rPr>
          <w:rFonts w:hint="eastAsia" w:ascii="方正小标宋_GBK" w:eastAsia="方正小标宋_GBK"/>
          <w:sz w:val="44"/>
          <w:lang w:val="en-US" w:eastAsia="zh-CN"/>
        </w:rPr>
      </w:pPr>
      <w:r>
        <w:rPr>
          <w:rFonts w:hint="eastAsia" w:ascii="方正小标宋_GBK" w:eastAsia="方正小标宋_GBK"/>
          <w:sz w:val="44"/>
          <w:lang w:val="en-US" w:eastAsia="zh-CN"/>
        </w:rPr>
        <w:t xml:space="preserve">      </w:t>
      </w:r>
    </w:p>
    <w:p>
      <w:pPr>
        <w:jc w:val="center"/>
        <w:rPr>
          <w:rFonts w:hint="default" w:ascii="方正小标宋_GBK" w:eastAsia="方正小标宋_GBK"/>
          <w:sz w:val="44"/>
          <w:lang w:val="en-US" w:eastAsia="zh-CN"/>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jc w:val="center"/>
        <w:rPr>
          <w:rFonts w:hint="eastAsia" w:hAnsi="宋体"/>
          <w:sz w:val="44"/>
        </w:rPr>
      </w:pPr>
      <w:r>
        <w:rPr>
          <w:rFonts w:hint="eastAsia" w:ascii="方正小标宋_GBK" w:eastAsia="方正小标宋_GBK"/>
          <w:sz w:val="44"/>
        </w:rPr>
        <w:t>中共石家庄市长安区委统战部2021年</w:t>
      </w:r>
      <w:r>
        <w:rPr>
          <w:rFonts w:hint="eastAsia" w:ascii="方正小标宋_GBK" w:eastAsia="方正小标宋_GBK"/>
          <w:sz w:val="44"/>
          <w:lang w:eastAsia="zh-CN"/>
        </w:rPr>
        <w:t>单位</w:t>
      </w:r>
      <w:r>
        <w:rPr>
          <w:rFonts w:hint="eastAsia" w:ascii="方正小标宋_GBK" w:eastAsia="方正小标宋_GBK"/>
          <w:sz w:val="44"/>
        </w:rPr>
        <w:t>预算信息公开情况说明</w:t>
      </w:r>
    </w:p>
    <w:p>
      <w:pPr>
        <w:spacing w:line="500" w:lineRule="exact"/>
        <w:ind w:firstLine="560" w:firstLineChars="200"/>
        <w:jc w:val="left"/>
        <w:rPr>
          <w:rFonts w:hint="eastAsia" w:hAnsi="宋体"/>
          <w:sz w:val="28"/>
        </w:rPr>
      </w:pPr>
      <w:r>
        <w:rPr>
          <w:rFonts w:hint="eastAsia" w:eastAsia="方正仿宋_GBK"/>
          <w:sz w:val="28"/>
        </w:rPr>
        <w:t>按照《预算法》、《地方预决算公开操作规程》和《河北省省级预算公开办法》规定，现将中共石家庄市长安区委统战部2021年</w:t>
      </w:r>
      <w:r>
        <w:rPr>
          <w:rFonts w:hint="eastAsia" w:eastAsia="方正仿宋_GBK"/>
          <w:sz w:val="28"/>
          <w:lang w:eastAsia="zh-CN"/>
        </w:rPr>
        <w:t>单位</w:t>
      </w:r>
      <w:r>
        <w:rPr>
          <w:rFonts w:hint="eastAsia" w:eastAsia="方正仿宋_GBK"/>
          <w:sz w:val="28"/>
        </w:rPr>
        <w:t>预算公开如下：</w:t>
      </w:r>
    </w:p>
    <w:p>
      <w:pPr>
        <w:spacing w:before="156" w:beforeLines="50" w:after="156" w:afterLines="50"/>
        <w:ind w:firstLine="640" w:firstLineChars="200"/>
        <w:jc w:val="left"/>
        <w:outlineLvl w:val="2"/>
        <w:rPr>
          <w:rFonts w:hint="eastAsia" w:hAnsi="宋体"/>
          <w:sz w:val="32"/>
        </w:rPr>
      </w:pPr>
      <w:bookmarkStart w:id="0" w:name="_Toc67581827"/>
      <w:r>
        <w:rPr>
          <w:rFonts w:hint="eastAsia" w:ascii="黑体" w:hAnsi="黑体" w:eastAsia="黑体"/>
          <w:sz w:val="32"/>
        </w:rPr>
        <w:t>一、</w:t>
      </w:r>
      <w:r>
        <w:rPr>
          <w:rFonts w:hint="eastAsia" w:ascii="黑体" w:hAnsi="黑体" w:eastAsia="黑体"/>
          <w:sz w:val="32"/>
          <w:lang w:eastAsia="zh-CN"/>
        </w:rPr>
        <w:t>单位</w:t>
      </w:r>
      <w:r>
        <w:rPr>
          <w:rFonts w:hint="eastAsia" w:ascii="黑体" w:hAnsi="黑体" w:eastAsia="黑体"/>
          <w:sz w:val="32"/>
        </w:rPr>
        <w:t>职责及机构设置情况</w:t>
      </w:r>
      <w:bookmarkEnd w:id="0"/>
    </w:p>
    <w:p>
      <w:pPr>
        <w:ind w:firstLine="643" w:firstLineChars="200"/>
        <w:jc w:val="left"/>
        <w:rPr>
          <w:rFonts w:eastAsia="方正仿宋_GBK"/>
          <w:sz w:val="28"/>
        </w:rPr>
      </w:pPr>
      <w:r>
        <w:rPr>
          <w:rFonts w:hint="eastAsia" w:ascii="方正楷体_GBK" w:eastAsia="方正楷体_GBK"/>
          <w:b/>
          <w:sz w:val="32"/>
          <w:lang w:eastAsia="zh-CN"/>
        </w:rPr>
        <w:t>单位</w:t>
      </w:r>
      <w:r>
        <w:rPr>
          <w:rFonts w:hint="eastAsia" w:ascii="方正楷体_GBK" w:eastAsia="方正楷体_GBK"/>
          <w:b/>
          <w:sz w:val="32"/>
        </w:rPr>
        <w:t>职责：</w:t>
      </w:r>
    </w:p>
    <w:p>
      <w:pPr>
        <w:spacing w:line="500" w:lineRule="exact"/>
        <w:ind w:firstLine="560" w:firstLineChars="200"/>
        <w:jc w:val="left"/>
        <w:rPr>
          <w:rFonts w:eastAsia="方正仿宋_GBK"/>
          <w:sz w:val="28"/>
        </w:rPr>
      </w:pPr>
      <w:r>
        <w:rPr>
          <w:rFonts w:hint="eastAsia" w:eastAsia="方正仿宋_GBK"/>
          <w:sz w:val="28"/>
          <w:lang w:eastAsia="zh-CN"/>
        </w:rPr>
        <w:t>（一）</w:t>
      </w:r>
      <w:r>
        <w:rPr>
          <w:rFonts w:eastAsia="方正仿宋_GBK"/>
          <w:sz w:val="28"/>
        </w:rPr>
        <w:t>贯彻执行中央、省、市有关统一战线工作的路线、方针、政策，通过各种渠道和形式，广泛进行统战宣传教育。</w:t>
      </w:r>
    </w:p>
    <w:p>
      <w:pPr>
        <w:spacing w:line="500" w:lineRule="exact"/>
        <w:ind w:firstLine="560" w:firstLineChars="200"/>
        <w:jc w:val="left"/>
        <w:rPr>
          <w:rFonts w:eastAsia="方正仿宋_GBK"/>
          <w:sz w:val="28"/>
        </w:rPr>
      </w:pPr>
      <w:r>
        <w:rPr>
          <w:rFonts w:eastAsia="方正仿宋_GBK"/>
          <w:sz w:val="28"/>
        </w:rPr>
        <w:t>（二）落实区委统战工作部署，向区委和上级主管</w:t>
      </w:r>
      <w:r>
        <w:rPr>
          <w:rFonts w:hint="eastAsia" w:eastAsia="方正仿宋_GBK"/>
          <w:sz w:val="28"/>
          <w:lang w:eastAsia="zh-CN"/>
        </w:rPr>
        <w:t>单位</w:t>
      </w:r>
      <w:r>
        <w:rPr>
          <w:rFonts w:eastAsia="方正仿宋_GBK"/>
          <w:sz w:val="28"/>
        </w:rPr>
        <w:t>反映本区统战工作情况，提出工作意见和建议。</w:t>
      </w:r>
    </w:p>
    <w:p>
      <w:pPr>
        <w:spacing w:line="500" w:lineRule="exact"/>
        <w:ind w:firstLine="560" w:firstLineChars="200"/>
        <w:jc w:val="left"/>
        <w:rPr>
          <w:rFonts w:eastAsia="方正仿宋_GBK"/>
          <w:sz w:val="28"/>
        </w:rPr>
      </w:pPr>
      <w:r>
        <w:rPr>
          <w:rFonts w:eastAsia="方正仿宋_GBK"/>
          <w:sz w:val="28"/>
        </w:rPr>
        <w:t>（三）组织全区统战工作重大活动，协调解决统战工作中遇到的疑难问题。</w:t>
      </w:r>
    </w:p>
    <w:p>
      <w:pPr>
        <w:spacing w:line="500" w:lineRule="exact"/>
        <w:ind w:firstLine="560" w:firstLineChars="200"/>
        <w:jc w:val="left"/>
        <w:rPr>
          <w:rFonts w:eastAsia="方正仿宋_GBK"/>
          <w:sz w:val="28"/>
        </w:rPr>
      </w:pPr>
      <w:r>
        <w:rPr>
          <w:rFonts w:eastAsia="方正仿宋_GBK"/>
          <w:sz w:val="28"/>
        </w:rPr>
        <w:t>（四）负责联系各民主党派、工商联及有关团体、各界人士，贯彻落实多党合作和政治协商制度。支持各民主党派独立开展工作，帮助他们选配领导班子，加强思想和组织建设。</w:t>
      </w:r>
    </w:p>
    <w:p>
      <w:pPr>
        <w:spacing w:line="500" w:lineRule="exact"/>
        <w:ind w:firstLine="560" w:firstLineChars="200"/>
        <w:jc w:val="left"/>
        <w:rPr>
          <w:rFonts w:eastAsia="方正仿宋_GBK"/>
          <w:sz w:val="28"/>
        </w:rPr>
      </w:pPr>
      <w:r>
        <w:rPr>
          <w:rFonts w:eastAsia="方正仿宋_GBK"/>
          <w:sz w:val="28"/>
        </w:rPr>
        <w:t>（五）负责党外人士的政治安排工作，会同有关</w:t>
      </w:r>
      <w:r>
        <w:rPr>
          <w:rFonts w:hint="eastAsia" w:eastAsia="方正仿宋_GBK"/>
          <w:sz w:val="28"/>
          <w:lang w:eastAsia="zh-CN"/>
        </w:rPr>
        <w:t>单位</w:t>
      </w:r>
      <w:r>
        <w:rPr>
          <w:rFonts w:eastAsia="方正仿宋_GBK"/>
          <w:sz w:val="28"/>
        </w:rPr>
        <w:t>做好党外人士的选拔、培养、推荐工作，做好党外后备干部队伍的思想教育和组织建设。</w:t>
      </w:r>
    </w:p>
    <w:p>
      <w:pPr>
        <w:spacing w:line="500" w:lineRule="exact"/>
        <w:ind w:firstLine="560" w:firstLineChars="200"/>
        <w:jc w:val="left"/>
        <w:rPr>
          <w:rFonts w:eastAsia="方正仿宋_GBK"/>
          <w:sz w:val="28"/>
        </w:rPr>
      </w:pPr>
      <w:r>
        <w:rPr>
          <w:rFonts w:eastAsia="方正仿宋_GBK"/>
          <w:sz w:val="28"/>
        </w:rPr>
        <w:t>（六）做好党外知识分子基础性管理工作，选拔党外优秀知识分子、科技拔尖人才并提出工作安排建议。</w:t>
      </w:r>
    </w:p>
    <w:p>
      <w:pPr>
        <w:spacing w:line="500" w:lineRule="exact"/>
        <w:ind w:firstLine="560" w:firstLineChars="200"/>
        <w:jc w:val="left"/>
        <w:rPr>
          <w:rFonts w:eastAsia="方正仿宋_GBK"/>
          <w:sz w:val="28"/>
        </w:rPr>
      </w:pPr>
      <w:r>
        <w:rPr>
          <w:rFonts w:eastAsia="方正仿宋_GBK"/>
          <w:sz w:val="28"/>
        </w:rPr>
        <w:t>（七）协调有关民族、宗教工作重大方针、政策的落实，会同有关</w:t>
      </w:r>
      <w:r>
        <w:rPr>
          <w:rFonts w:hint="eastAsia" w:eastAsia="方正仿宋_GBK"/>
          <w:sz w:val="28"/>
          <w:lang w:eastAsia="zh-CN"/>
        </w:rPr>
        <w:t>单位</w:t>
      </w:r>
      <w:r>
        <w:rPr>
          <w:rFonts w:eastAsia="方正仿宋_GBK"/>
          <w:sz w:val="28"/>
        </w:rPr>
        <w:t>做好宗教地下势力的治理工作。</w:t>
      </w:r>
    </w:p>
    <w:p>
      <w:pPr>
        <w:spacing w:line="500" w:lineRule="exact"/>
        <w:ind w:firstLine="560" w:firstLineChars="200"/>
        <w:jc w:val="left"/>
        <w:rPr>
          <w:rFonts w:eastAsia="方正仿宋_GBK"/>
          <w:sz w:val="28"/>
        </w:rPr>
      </w:pPr>
      <w:r>
        <w:rPr>
          <w:rFonts w:eastAsia="方正仿宋_GBK"/>
          <w:sz w:val="28"/>
        </w:rPr>
        <w:t>（八）协助工商联做好非公有制经济工作，选拔、物色非公有制经济代表人物并做好思想政治工作。</w:t>
      </w:r>
    </w:p>
    <w:p>
      <w:pPr>
        <w:spacing w:line="500" w:lineRule="exact"/>
        <w:ind w:firstLine="560" w:firstLineChars="200"/>
        <w:jc w:val="left"/>
        <w:rPr>
          <w:rFonts w:eastAsia="方正仿宋_GBK"/>
          <w:sz w:val="28"/>
        </w:rPr>
      </w:pPr>
      <w:r>
        <w:rPr>
          <w:rFonts w:eastAsia="方正仿宋_GBK"/>
          <w:sz w:val="28"/>
        </w:rPr>
        <w:t>（九）负责对台及台湾事务工作，做好对台宣传、经贸及接待联络工作。</w:t>
      </w:r>
    </w:p>
    <w:p>
      <w:pPr>
        <w:spacing w:line="500" w:lineRule="exact"/>
        <w:ind w:firstLine="560" w:firstLineChars="200"/>
        <w:jc w:val="left"/>
        <w:rPr>
          <w:rFonts w:eastAsia="方正仿宋_GBK"/>
          <w:sz w:val="28"/>
        </w:rPr>
      </w:pPr>
      <w:r>
        <w:rPr>
          <w:rFonts w:eastAsia="方正仿宋_GBK"/>
          <w:sz w:val="28"/>
        </w:rPr>
        <w:t>（十）负责开展海外统战工作，加强与海外有关团体、人士的联系，组织“三胞”眷属为本区经济建设服务。</w:t>
      </w:r>
    </w:p>
    <w:p>
      <w:pPr>
        <w:spacing w:line="500" w:lineRule="exact"/>
        <w:ind w:firstLine="560" w:firstLineChars="200"/>
        <w:jc w:val="left"/>
        <w:rPr>
          <w:rFonts w:eastAsia="方正仿宋_GBK"/>
          <w:sz w:val="28"/>
        </w:rPr>
      </w:pPr>
      <w:r>
        <w:rPr>
          <w:rFonts w:eastAsia="方正仿宋_GBK"/>
          <w:sz w:val="28"/>
        </w:rPr>
        <w:t>（十一）负责本区侨务工作。</w:t>
      </w:r>
    </w:p>
    <w:p>
      <w:pPr>
        <w:spacing w:line="500" w:lineRule="exact"/>
        <w:ind w:firstLine="560" w:firstLineChars="200"/>
        <w:jc w:val="left"/>
        <w:rPr>
          <w:rFonts w:eastAsia="方正仿宋_GBK"/>
          <w:sz w:val="28"/>
        </w:rPr>
      </w:pPr>
      <w:r>
        <w:rPr>
          <w:rFonts w:eastAsia="方正仿宋_GBK"/>
          <w:sz w:val="28"/>
        </w:rPr>
        <w:t>（十二）完成区委交办的其他工作。</w:t>
      </w:r>
    </w:p>
    <w:p>
      <w:pPr>
        <w:spacing w:line="500" w:lineRule="exact"/>
        <w:ind w:firstLine="560" w:firstLineChars="200"/>
        <w:jc w:val="left"/>
        <w:rPr>
          <w:rFonts w:eastAsia="方正仿宋_GBK"/>
          <w:sz w:val="28"/>
        </w:rPr>
      </w:pPr>
    </w:p>
    <w:p>
      <w:pPr>
        <w:ind w:firstLine="643" w:firstLineChars="200"/>
        <w:jc w:val="left"/>
        <w:rPr>
          <w:rFonts w:hint="eastAsia" w:hAnsi="宋体"/>
          <w:b/>
          <w:sz w:val="32"/>
        </w:rPr>
      </w:pPr>
      <w:r>
        <w:rPr>
          <w:rFonts w:hint="eastAsia" w:ascii="方正楷体_GBK" w:eastAsia="方正楷体_GBK"/>
          <w:b/>
          <w:sz w:val="32"/>
        </w:rPr>
        <w:t>机构设置：</w:t>
      </w:r>
    </w:p>
    <w:p>
      <w:pPr>
        <w:jc w:val="center"/>
        <w:rPr>
          <w:rFonts w:hint="eastAsia" w:hAnsi="宋体"/>
          <w:sz w:val="32"/>
        </w:rPr>
      </w:pPr>
      <w:r>
        <w:rPr>
          <w:rFonts w:hint="eastAsia" w:ascii="方正小标宋_GBK" w:eastAsia="方正小标宋_GBK"/>
          <w:sz w:val="32"/>
          <w:lang w:eastAsia="zh-CN"/>
        </w:rPr>
        <w:t>单位</w:t>
      </w:r>
      <w:r>
        <w:rPr>
          <w:rFonts w:hint="eastAsia" w:ascii="方正小标宋_GBK" w:eastAsia="方正小标宋_GBK"/>
          <w:sz w:val="32"/>
        </w:rPr>
        <w:t>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中共石家庄市长安区委统战部本级</w:t>
            </w:r>
          </w:p>
        </w:tc>
        <w:tc>
          <w:tcPr>
            <w:tcW w:w="1843"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行政</w:t>
            </w:r>
          </w:p>
        </w:tc>
        <w:tc>
          <w:tcPr>
            <w:tcW w:w="2126"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827"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财政拨款</w:t>
            </w:r>
          </w:p>
        </w:tc>
      </w:tr>
    </w:tbl>
    <w:p>
      <w:pPr>
        <w:spacing w:before="156" w:beforeLines="50" w:after="156" w:afterLines="50"/>
        <w:ind w:firstLine="640" w:firstLineChars="200"/>
        <w:jc w:val="left"/>
        <w:outlineLvl w:val="2"/>
        <w:rPr>
          <w:rFonts w:hint="eastAsia" w:hAnsi="宋体"/>
          <w:sz w:val="32"/>
        </w:rPr>
      </w:pPr>
      <w:bookmarkStart w:id="1" w:name="_Toc67581828"/>
      <w:r>
        <w:rPr>
          <w:rFonts w:hint="eastAsia" w:ascii="黑体" w:hAnsi="黑体" w:eastAsia="黑体"/>
          <w:sz w:val="32"/>
        </w:rPr>
        <w:t>二、</w:t>
      </w:r>
      <w:r>
        <w:rPr>
          <w:rFonts w:hint="eastAsia" w:ascii="黑体" w:hAnsi="黑体" w:eastAsia="黑体"/>
          <w:sz w:val="32"/>
          <w:lang w:eastAsia="zh-CN"/>
        </w:rPr>
        <w:t>单位</w:t>
      </w:r>
      <w:r>
        <w:rPr>
          <w:rFonts w:hint="eastAsia" w:ascii="黑体" w:hAnsi="黑体" w:eastAsia="黑体"/>
          <w:sz w:val="32"/>
        </w:rPr>
        <w:t>预算安排的总体情况</w:t>
      </w:r>
      <w:bookmarkEnd w:id="1"/>
    </w:p>
    <w:p>
      <w:pPr>
        <w:spacing w:line="500" w:lineRule="exact"/>
        <w:ind w:firstLine="560" w:firstLineChars="200"/>
        <w:jc w:val="left"/>
        <w:rPr>
          <w:rFonts w:eastAsia="方正仿宋_GBK"/>
          <w:sz w:val="28"/>
        </w:rPr>
      </w:pPr>
      <w:r>
        <w:rPr>
          <w:rFonts w:hint="eastAsia" w:eastAsia="方正仿宋_GBK"/>
          <w:sz w:val="28"/>
        </w:rPr>
        <w:t>按照预算管理有关规定，我</w:t>
      </w:r>
      <w:r>
        <w:rPr>
          <w:rFonts w:hint="eastAsia" w:eastAsia="方正仿宋_GBK"/>
          <w:sz w:val="28"/>
          <w:lang w:eastAsia="zh-CN"/>
        </w:rPr>
        <w:t>单位</w:t>
      </w:r>
      <w:r>
        <w:rPr>
          <w:rFonts w:hint="eastAsia" w:eastAsia="方正仿宋_GBK"/>
          <w:sz w:val="28"/>
        </w:rPr>
        <w:t>预算的编制实行综合预算管理，即全部收入和支出都反映在预算中。中共石家庄市长安区委统战部机关及所属事业单位的收支包含在</w:t>
      </w:r>
      <w:r>
        <w:rPr>
          <w:rFonts w:hint="eastAsia" w:eastAsia="方正仿宋_GBK"/>
          <w:sz w:val="28"/>
          <w:lang w:eastAsia="zh-CN"/>
        </w:rPr>
        <w:t>单位</w:t>
      </w:r>
      <w:r>
        <w:rPr>
          <w:rFonts w:hint="eastAsia" w:eastAsia="方正仿宋_GBK"/>
          <w:sz w:val="28"/>
        </w:rPr>
        <w:t>预算中。</w:t>
      </w:r>
    </w:p>
    <w:p>
      <w:pPr>
        <w:spacing w:line="500" w:lineRule="exact"/>
        <w:ind w:firstLine="560" w:firstLineChars="200"/>
        <w:jc w:val="left"/>
        <w:rPr>
          <w:rFonts w:eastAsia="方正仿宋_GBK"/>
          <w:sz w:val="28"/>
        </w:rPr>
      </w:pPr>
      <w:r>
        <w:rPr>
          <w:rFonts w:eastAsia="方正仿宋_GBK"/>
          <w:sz w:val="28"/>
        </w:rPr>
        <w:t>1、收入说明</w:t>
      </w:r>
    </w:p>
    <w:p>
      <w:pPr>
        <w:spacing w:line="500" w:lineRule="exact"/>
        <w:ind w:firstLine="560" w:firstLineChars="200"/>
        <w:jc w:val="left"/>
        <w:rPr>
          <w:rFonts w:eastAsia="方正仿宋_GBK"/>
          <w:sz w:val="28"/>
        </w:rPr>
      </w:pPr>
      <w:r>
        <w:rPr>
          <w:rFonts w:eastAsia="方正仿宋_GBK"/>
          <w:sz w:val="28"/>
        </w:rPr>
        <w:t>反映本</w:t>
      </w:r>
      <w:r>
        <w:rPr>
          <w:rFonts w:hint="eastAsia" w:eastAsia="方正仿宋_GBK"/>
          <w:sz w:val="28"/>
          <w:lang w:eastAsia="zh-CN"/>
        </w:rPr>
        <w:t>单位</w:t>
      </w:r>
      <w:r>
        <w:rPr>
          <w:rFonts w:eastAsia="方正仿宋_GBK"/>
          <w:sz w:val="28"/>
        </w:rPr>
        <w:t>当年全部收入。</w:t>
      </w:r>
      <w:r>
        <w:rPr>
          <w:rFonts w:hint="eastAsia" w:eastAsia="方正仿宋_GBK"/>
          <w:sz w:val="28"/>
          <w:lang w:eastAsia="zh-CN"/>
        </w:rPr>
        <w:t>长安区委统战部</w:t>
      </w:r>
      <w:r>
        <w:rPr>
          <w:rFonts w:eastAsia="方正仿宋_GBK"/>
          <w:sz w:val="28"/>
        </w:rPr>
        <w:t>2021年预算收入16</w:t>
      </w:r>
      <w:r>
        <w:rPr>
          <w:rFonts w:hint="eastAsia" w:eastAsia="方正仿宋_GBK"/>
          <w:sz w:val="28"/>
          <w:lang w:val="en-US" w:eastAsia="zh-CN"/>
        </w:rPr>
        <w:t>1.4</w:t>
      </w:r>
      <w:r>
        <w:rPr>
          <w:rFonts w:eastAsia="方正仿宋_GBK"/>
          <w:sz w:val="28"/>
        </w:rPr>
        <w:t>万元，</w:t>
      </w:r>
      <w:r>
        <w:rPr>
          <w:rFonts w:hint="eastAsia" w:eastAsia="方正仿宋_GBK"/>
          <w:sz w:val="28"/>
          <w:lang w:eastAsia="zh-CN"/>
        </w:rPr>
        <w:t>比去年减少</w:t>
      </w:r>
      <w:r>
        <w:rPr>
          <w:rFonts w:hint="eastAsia" w:eastAsia="方正仿宋_GBK"/>
          <w:sz w:val="28"/>
          <w:lang w:val="en-US" w:eastAsia="zh-CN"/>
        </w:rPr>
        <w:t xml:space="preserve"> 72.72万元，下降 45%。按照收入来源划分：财政拨款收入161.4万元，占预算100%。按照功能科目划分：一般公共服务支出123.7万元，占预算 76.64 %；社会保障和就业支出 21.03万元，占预算13.03 %；医疗卫生与计划生育支出10.70万元，占预算6.63%；住房保障支出5.97万元。占预算 3.7 %。</w:t>
      </w:r>
    </w:p>
    <w:p>
      <w:pPr>
        <w:spacing w:line="500" w:lineRule="exact"/>
        <w:ind w:firstLine="560" w:firstLineChars="200"/>
        <w:jc w:val="left"/>
        <w:rPr>
          <w:rFonts w:eastAsia="方正仿宋_GBK"/>
          <w:sz w:val="28"/>
        </w:rPr>
      </w:pPr>
      <w:r>
        <w:rPr>
          <w:rFonts w:eastAsia="方正仿宋_GBK"/>
          <w:sz w:val="28"/>
        </w:rPr>
        <w:t>2、支出说明</w:t>
      </w:r>
    </w:p>
    <w:p>
      <w:pPr>
        <w:spacing w:line="500" w:lineRule="exact"/>
        <w:ind w:firstLine="560" w:firstLineChars="200"/>
        <w:jc w:val="left"/>
        <w:rPr>
          <w:rFonts w:eastAsia="方正仿宋_GBK"/>
          <w:sz w:val="28"/>
        </w:rPr>
      </w:pPr>
      <w:r>
        <w:rPr>
          <w:rFonts w:eastAsia="方正仿宋_GBK"/>
          <w:sz w:val="28"/>
        </w:rPr>
        <w:t>收支预算总表支出栏、基本支出表、项目支出表按经济分类和支出功能分类科目编制，反映年度</w:t>
      </w:r>
      <w:r>
        <w:rPr>
          <w:rFonts w:hint="eastAsia" w:eastAsia="方正仿宋_GBK"/>
          <w:sz w:val="28"/>
          <w:lang w:eastAsia="zh-CN"/>
        </w:rPr>
        <w:t>单位</w:t>
      </w:r>
      <w:r>
        <w:rPr>
          <w:rFonts w:eastAsia="方正仿宋_GBK"/>
          <w:sz w:val="28"/>
        </w:rPr>
        <w:t>预算中支出预算的总体情况。</w:t>
      </w:r>
      <w:r>
        <w:rPr>
          <w:rFonts w:hint="eastAsia" w:eastAsia="方正仿宋_GBK"/>
          <w:sz w:val="28"/>
          <w:lang w:eastAsia="zh-CN"/>
        </w:rPr>
        <w:t>长安区委统战部</w:t>
      </w:r>
      <w:r>
        <w:rPr>
          <w:rFonts w:eastAsia="方正仿宋_GBK"/>
          <w:sz w:val="28"/>
        </w:rPr>
        <w:t>2021年</w:t>
      </w:r>
      <w:r>
        <w:rPr>
          <w:rFonts w:hint="eastAsia" w:eastAsia="方正仿宋_GBK"/>
          <w:sz w:val="28"/>
          <w:lang w:eastAsia="zh-CN"/>
        </w:rPr>
        <w:t>单位</w:t>
      </w:r>
      <w:r>
        <w:rPr>
          <w:rFonts w:eastAsia="方正仿宋_GBK"/>
          <w:sz w:val="28"/>
        </w:rPr>
        <w:t>支出预算为16</w:t>
      </w:r>
      <w:r>
        <w:rPr>
          <w:rFonts w:hint="eastAsia" w:eastAsia="方正仿宋_GBK"/>
          <w:sz w:val="28"/>
          <w:lang w:val="en-US" w:eastAsia="zh-CN"/>
        </w:rPr>
        <w:t>1</w:t>
      </w:r>
      <w:r>
        <w:rPr>
          <w:rFonts w:eastAsia="方正仿宋_GBK"/>
          <w:sz w:val="28"/>
        </w:rPr>
        <w:t>.4万元，</w:t>
      </w:r>
      <w:r>
        <w:rPr>
          <w:rFonts w:hint="eastAsia" w:eastAsia="方正仿宋_GBK"/>
          <w:sz w:val="28"/>
          <w:lang w:eastAsia="zh-CN"/>
        </w:rPr>
        <w:t>比去年减少</w:t>
      </w:r>
      <w:r>
        <w:rPr>
          <w:rFonts w:hint="eastAsia" w:eastAsia="方正仿宋_GBK"/>
          <w:sz w:val="28"/>
          <w:lang w:val="en-US" w:eastAsia="zh-CN"/>
        </w:rPr>
        <w:t>72.72万元，下降45 %；</w:t>
      </w:r>
      <w:r>
        <w:rPr>
          <w:rFonts w:eastAsia="方正仿宋_GBK"/>
          <w:sz w:val="28"/>
        </w:rPr>
        <w:t>其中基本支出156.4万元，</w:t>
      </w:r>
      <w:r>
        <w:rPr>
          <w:rFonts w:hint="eastAsia" w:eastAsia="方正仿宋_GBK"/>
          <w:sz w:val="28"/>
          <w:lang w:eastAsia="zh-CN"/>
        </w:rPr>
        <w:t>占预算</w:t>
      </w:r>
      <w:r>
        <w:rPr>
          <w:rFonts w:hint="eastAsia" w:eastAsia="方正仿宋_GBK"/>
          <w:sz w:val="28"/>
          <w:lang w:val="en-US" w:eastAsia="zh-CN"/>
        </w:rPr>
        <w:t>96.9 %；其中</w:t>
      </w:r>
      <w:r>
        <w:rPr>
          <w:rFonts w:eastAsia="方正仿宋_GBK"/>
          <w:sz w:val="28"/>
        </w:rPr>
        <w:t>人员经费140.28万元</w:t>
      </w:r>
      <w:r>
        <w:rPr>
          <w:rFonts w:hint="eastAsia" w:eastAsia="方正仿宋_GBK"/>
          <w:sz w:val="28"/>
          <w:lang w:eastAsia="zh-CN"/>
        </w:rPr>
        <w:t>，主要包括基本工资、津贴补贴、奖金、社会保障缴费、退休费、生活补助、奖励金、住房公积金、采暖补贴、其他对个人和家庭的补助支出等；</w:t>
      </w:r>
      <w:r>
        <w:rPr>
          <w:rFonts w:eastAsia="方正仿宋_GBK"/>
          <w:sz w:val="28"/>
        </w:rPr>
        <w:t>日常公用经费16.12万元</w:t>
      </w:r>
      <w:r>
        <w:rPr>
          <w:rFonts w:hint="eastAsia" w:eastAsia="方正仿宋_GBK"/>
          <w:sz w:val="28"/>
          <w:lang w:eastAsia="zh-CN"/>
        </w:rPr>
        <w:t>，主要包括办公费、印刷费、邮电费、差旅费、维护费、会议费、培训费、工会经费、福利费、公务用车运行维护费、其他交通费用、其他商品和服务支出</w:t>
      </w:r>
      <w:r>
        <w:rPr>
          <w:rFonts w:eastAsia="方正仿宋_GBK"/>
          <w:sz w:val="28"/>
        </w:rPr>
        <w:t>；项目支出</w:t>
      </w:r>
      <w:r>
        <w:rPr>
          <w:rFonts w:hint="eastAsia" w:eastAsia="方正仿宋_GBK"/>
          <w:sz w:val="28"/>
          <w:lang w:val="en-US" w:eastAsia="zh-CN"/>
        </w:rPr>
        <w:t>5</w:t>
      </w:r>
      <w:r>
        <w:rPr>
          <w:rFonts w:eastAsia="方正仿宋_GBK"/>
          <w:sz w:val="28"/>
        </w:rPr>
        <w:t>万元，主要包括：民族宗教工作经费</w:t>
      </w:r>
      <w:r>
        <w:rPr>
          <w:rFonts w:hint="eastAsia" w:eastAsia="方正仿宋_GBK"/>
          <w:sz w:val="28"/>
          <w:lang w:val="en-US" w:eastAsia="zh-CN"/>
        </w:rPr>
        <w:t>1</w:t>
      </w:r>
      <w:r>
        <w:rPr>
          <w:rFonts w:eastAsia="方正仿宋_GBK"/>
          <w:sz w:val="28"/>
        </w:rPr>
        <w:t>万元，党派活动工作经费</w:t>
      </w:r>
      <w:r>
        <w:rPr>
          <w:rFonts w:hint="eastAsia" w:eastAsia="方正仿宋_GBK"/>
          <w:sz w:val="28"/>
          <w:lang w:val="en-US" w:eastAsia="zh-CN"/>
        </w:rPr>
        <w:t>1</w:t>
      </w:r>
      <w:r>
        <w:rPr>
          <w:rFonts w:eastAsia="方正仿宋_GBK"/>
          <w:sz w:val="28"/>
        </w:rPr>
        <w:t>万元，</w:t>
      </w:r>
      <w:r>
        <w:rPr>
          <w:rFonts w:hint="eastAsia" w:eastAsia="方正仿宋_GBK"/>
          <w:sz w:val="28"/>
          <w:lang w:val="en-US" w:eastAsia="zh-CN"/>
        </w:rPr>
        <w:t>2021年市本级少数民族地区补助费3万元。</w:t>
      </w:r>
    </w:p>
    <w:p>
      <w:pPr>
        <w:spacing w:line="500" w:lineRule="exact"/>
        <w:ind w:firstLine="560" w:firstLineChars="200"/>
        <w:jc w:val="left"/>
        <w:rPr>
          <w:rFonts w:eastAsia="方正仿宋_GBK"/>
          <w:sz w:val="28"/>
        </w:rPr>
      </w:pPr>
      <w:r>
        <w:rPr>
          <w:rFonts w:eastAsia="方正仿宋_GBK"/>
          <w:sz w:val="28"/>
        </w:rPr>
        <w:t>3、比上年增减情况</w:t>
      </w:r>
    </w:p>
    <w:p>
      <w:pPr>
        <w:spacing w:line="500" w:lineRule="exact"/>
        <w:ind w:firstLine="560" w:firstLineChars="200"/>
        <w:jc w:val="left"/>
        <w:rPr>
          <w:rFonts w:eastAsia="方正仿宋_GBK"/>
          <w:sz w:val="28"/>
        </w:rPr>
      </w:pPr>
      <w:r>
        <w:rPr>
          <w:rFonts w:eastAsia="方正仿宋_GBK"/>
          <w:sz w:val="28"/>
        </w:rPr>
        <w:t>2021年</w:t>
      </w:r>
      <w:r>
        <w:rPr>
          <w:rFonts w:hint="eastAsia" w:eastAsia="方正仿宋_GBK"/>
          <w:sz w:val="28"/>
          <w:lang w:eastAsia="zh-CN"/>
        </w:rPr>
        <w:t>单位</w:t>
      </w:r>
      <w:r>
        <w:rPr>
          <w:rFonts w:eastAsia="方正仿宋_GBK"/>
          <w:sz w:val="28"/>
        </w:rPr>
        <w:t>预算收支安排16</w:t>
      </w:r>
      <w:r>
        <w:rPr>
          <w:rFonts w:hint="eastAsia" w:eastAsia="方正仿宋_GBK"/>
          <w:sz w:val="28"/>
          <w:lang w:val="en-US" w:eastAsia="zh-CN"/>
        </w:rPr>
        <w:t>1</w:t>
      </w:r>
      <w:r>
        <w:rPr>
          <w:rFonts w:eastAsia="方正仿宋_GBK"/>
          <w:sz w:val="28"/>
        </w:rPr>
        <w:t>.4万元，较2020年减少</w:t>
      </w:r>
      <w:r>
        <w:rPr>
          <w:rFonts w:hint="eastAsia" w:eastAsia="方正仿宋_GBK"/>
          <w:sz w:val="28"/>
          <w:lang w:val="en-US" w:eastAsia="zh-CN"/>
        </w:rPr>
        <w:t>72</w:t>
      </w:r>
      <w:r>
        <w:rPr>
          <w:rFonts w:eastAsia="方正仿宋_GBK"/>
          <w:sz w:val="28"/>
        </w:rPr>
        <w:t>.72万元，其中：基本支出减少59.72万元，主要是人员减少，相应减少员经费和日常公用经费；项目支出减少</w:t>
      </w:r>
      <w:r>
        <w:rPr>
          <w:rFonts w:hint="eastAsia" w:eastAsia="方正仿宋_GBK"/>
          <w:sz w:val="28"/>
          <w:lang w:val="en-US" w:eastAsia="zh-CN"/>
        </w:rPr>
        <w:t>13</w:t>
      </w:r>
      <w:r>
        <w:rPr>
          <w:rFonts w:eastAsia="方正仿宋_GBK"/>
          <w:sz w:val="28"/>
        </w:rPr>
        <w:t>万元，主要是压缩开支，各项目费用减少。</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outlineLvl w:val="2"/>
        <w:rPr>
          <w:rFonts w:eastAsia="方正仿宋_GBK"/>
          <w:sz w:val="28"/>
        </w:rPr>
      </w:pPr>
      <w:bookmarkStart w:id="2" w:name="_Toc67581829"/>
      <w:r>
        <w:rPr>
          <w:rFonts w:hint="eastAsia" w:ascii="黑体" w:hAnsi="黑体" w:eastAsia="黑体"/>
          <w:sz w:val="32"/>
        </w:rPr>
        <w:t>三、机关运行经费安排情况</w:t>
      </w:r>
      <w:bookmarkEnd w:id="2"/>
    </w:p>
    <w:p>
      <w:pPr>
        <w:spacing w:line="500" w:lineRule="exact"/>
        <w:ind w:firstLine="560" w:firstLineChars="200"/>
        <w:jc w:val="left"/>
        <w:rPr>
          <w:rFonts w:eastAsia="方正仿宋_GBK"/>
          <w:sz w:val="28"/>
        </w:rPr>
      </w:pPr>
      <w:r>
        <w:rPr>
          <w:rFonts w:eastAsia="方正仿宋_GBK"/>
          <w:sz w:val="28"/>
        </w:rPr>
        <w:t>2021年，我</w:t>
      </w:r>
      <w:r>
        <w:rPr>
          <w:rFonts w:hint="eastAsia" w:eastAsia="方正仿宋_GBK"/>
          <w:sz w:val="28"/>
          <w:lang w:eastAsia="zh-CN"/>
        </w:rPr>
        <w:t>单位</w:t>
      </w:r>
      <w:r>
        <w:rPr>
          <w:rFonts w:eastAsia="方正仿宋_GBK"/>
          <w:sz w:val="28"/>
        </w:rPr>
        <w:t>机关运行经费共计安排16.12万元，主要用于保证机关正常运转的办公及印刷费、邮电费、差旅费、维修（护）费、会议费、培训费、工会经费、福利费、公务车运行维护费、其他交通费用等支出。</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outlineLvl w:val="2"/>
        <w:rPr>
          <w:rFonts w:eastAsia="方正仿宋_GBK"/>
          <w:sz w:val="28"/>
        </w:rPr>
      </w:pPr>
      <w:bookmarkStart w:id="3" w:name="_Toc67581830"/>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bookmarkEnd w:id="3"/>
    </w:p>
    <w:p>
      <w:pPr>
        <w:spacing w:line="500" w:lineRule="exact"/>
        <w:ind w:firstLine="560" w:firstLineChars="200"/>
        <w:jc w:val="left"/>
        <w:rPr>
          <w:rFonts w:eastAsia="方正仿宋_GBK"/>
          <w:sz w:val="28"/>
        </w:rPr>
      </w:pPr>
      <w:r>
        <w:rPr>
          <w:rFonts w:eastAsia="方正仿宋_GBK"/>
          <w:sz w:val="28"/>
        </w:rPr>
        <w:t>2021年，我</w:t>
      </w:r>
      <w:r>
        <w:rPr>
          <w:rFonts w:hint="eastAsia" w:eastAsia="方正仿宋_GBK"/>
          <w:sz w:val="28"/>
          <w:lang w:eastAsia="zh-CN"/>
        </w:rPr>
        <w:t>单位</w:t>
      </w:r>
      <w:r>
        <w:rPr>
          <w:rFonts w:eastAsia="方正仿宋_GBK"/>
          <w:sz w:val="28"/>
        </w:rPr>
        <w:t>财政拨款“三公”经费预算安排2.5万元，其中：因公出国（境）费0万元；公务用车购置及运维费2.5万元（其中：公务用车购置费0万元，公务用车运行维护费2.5万元)；“三公”经费与上年无增减变化。按照勤俭办公的原则未增加“三公”经费预算。</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outlineLvl w:val="2"/>
        <w:rPr>
          <w:rFonts w:hint="eastAsia" w:hAnsi="宋体"/>
          <w:sz w:val="32"/>
        </w:rPr>
      </w:pPr>
      <w:bookmarkStart w:id="4" w:name="_Toc67581831"/>
      <w:r>
        <w:rPr>
          <w:rFonts w:hint="eastAsia" w:ascii="黑体" w:hAnsi="黑体" w:eastAsia="黑体"/>
          <w:sz w:val="32"/>
        </w:rPr>
        <w:t>五、预算绩效信息</w:t>
      </w:r>
      <w:bookmarkEnd w:id="4"/>
    </w:p>
    <w:p>
      <w:pPr>
        <w:ind w:firstLine="643" w:firstLineChars="200"/>
        <w:jc w:val="left"/>
        <w:rPr>
          <w:rFonts w:hint="eastAsia" w:hAnsi="宋体"/>
          <w:b/>
          <w:sz w:val="32"/>
        </w:rPr>
      </w:pPr>
      <w:r>
        <w:rPr>
          <w:rFonts w:hint="eastAsia" w:ascii="方正楷体_GBK" w:eastAsia="方正楷体_GBK"/>
          <w:b/>
          <w:sz w:val="32"/>
        </w:rPr>
        <w:t>第一部分</w:t>
      </w:r>
      <w:r>
        <w:rPr>
          <w:rFonts w:ascii="方正楷体_GBK" w:eastAsia="方正楷体_GBK"/>
          <w:b/>
          <w:sz w:val="32"/>
        </w:rPr>
        <w:t xml:space="preserve"> </w:t>
      </w:r>
      <w:r>
        <w:rPr>
          <w:rFonts w:hint="eastAsia" w:ascii="方正楷体_GBK" w:eastAsia="方正楷体_GBK"/>
          <w:b/>
          <w:sz w:val="32"/>
          <w:lang w:eastAsia="zh-CN"/>
        </w:rPr>
        <w:t>单位</w:t>
      </w:r>
      <w:r>
        <w:rPr>
          <w:rFonts w:hint="eastAsia" w:ascii="方正楷体_GBK" w:eastAsia="方正楷体_GBK"/>
          <w:b/>
          <w:sz w:val="32"/>
        </w:rPr>
        <w:t>整体绩效目标</w:t>
      </w:r>
    </w:p>
    <w:p>
      <w:pPr>
        <w:spacing w:line="500" w:lineRule="exact"/>
        <w:ind w:firstLine="560" w:firstLineChars="200"/>
        <w:jc w:val="left"/>
        <w:rPr>
          <w:rFonts w:eastAsia="方正仿宋_GBK"/>
          <w:sz w:val="28"/>
        </w:rPr>
      </w:pPr>
      <w:r>
        <w:rPr>
          <w:rFonts w:hint="eastAsia" w:eastAsia="方正仿宋_GBK"/>
          <w:sz w:val="28"/>
        </w:rPr>
        <w:t>（一）总体绩效目标</w:t>
      </w:r>
    </w:p>
    <w:p>
      <w:pPr>
        <w:spacing w:line="500" w:lineRule="exact"/>
        <w:ind w:firstLine="560" w:firstLineChars="200"/>
        <w:jc w:val="left"/>
        <w:rPr>
          <w:rFonts w:eastAsia="方正仿宋_GBK"/>
          <w:sz w:val="28"/>
        </w:rPr>
      </w:pPr>
      <w:r>
        <w:rPr>
          <w:rFonts w:eastAsia="方正仿宋_GBK"/>
          <w:sz w:val="28"/>
        </w:rPr>
        <w:t>2021年区委统战部工作的总体思路是：深入贯彻落实党的十九大和十九届四中全会精神，进一步加强党对统一战线的集中统一领导，确保统一战线始终坚持正确的政治方向；进一步建立健全统一战线各领域的制度体系，把大统战工作格局落到实处。着重做好民主党派、民族、宗教、新的社会阶层人士、海内外同胞等方面的工作，确保我区统一战线各领域各方面和谐稳定，与我区经济社会各方面工作融合发展。</w:t>
      </w:r>
    </w:p>
    <w:p>
      <w:pPr>
        <w:spacing w:line="500" w:lineRule="exact"/>
        <w:ind w:firstLine="560" w:firstLineChars="200"/>
        <w:jc w:val="left"/>
        <w:rPr>
          <w:rFonts w:eastAsia="方正仿宋_GBK"/>
          <w:sz w:val="28"/>
        </w:rPr>
      </w:pPr>
      <w:r>
        <w:rPr>
          <w:rFonts w:eastAsia="方正仿宋_GBK"/>
          <w:sz w:val="28"/>
        </w:rPr>
        <w:t>1、强化对统一战线成员的政治理论培训，尤其是新的社会阶层人士的政治理论培训，进一步加强政治引领，扩大统一战线“朋友圈”，为各民主党派、党外代表人士参政议政搭建平台，为我区经济社会各项工作的发展凝才聚智。</w:t>
      </w:r>
    </w:p>
    <w:p>
      <w:pPr>
        <w:spacing w:line="500" w:lineRule="exact"/>
        <w:ind w:firstLine="560" w:firstLineChars="200"/>
        <w:jc w:val="left"/>
        <w:rPr>
          <w:rFonts w:eastAsia="方正仿宋_GBK"/>
          <w:sz w:val="28"/>
        </w:rPr>
      </w:pPr>
      <w:r>
        <w:rPr>
          <w:rFonts w:eastAsia="方正仿宋_GBK"/>
          <w:sz w:val="28"/>
        </w:rPr>
        <w:t>2、继续巩固和发展“1+4”模式新的社会阶层人士统战工作，做好楼宇统战工作，通过长安同心苑微平台便捷联系新的社会阶层人士，通过交朋友、交好朋友，为建设经济强区、美丽长安凝才聚智。</w:t>
      </w:r>
    </w:p>
    <w:p>
      <w:pPr>
        <w:spacing w:line="500" w:lineRule="exact"/>
        <w:ind w:firstLine="560" w:firstLineChars="200"/>
        <w:jc w:val="left"/>
        <w:rPr>
          <w:rFonts w:eastAsia="方正仿宋_GBK"/>
          <w:sz w:val="28"/>
        </w:rPr>
      </w:pPr>
      <w:r>
        <w:rPr>
          <w:rFonts w:eastAsia="方正仿宋_GBK"/>
          <w:sz w:val="28"/>
        </w:rPr>
        <w:t>3、探索拓展社区统战新模式。202</w:t>
      </w:r>
      <w:r>
        <w:rPr>
          <w:rFonts w:hint="eastAsia" w:eastAsia="方正仿宋_GBK"/>
          <w:sz w:val="28"/>
          <w:lang w:val="en-US" w:eastAsia="zh-CN"/>
        </w:rPr>
        <w:t>1</w:t>
      </w:r>
      <w:r>
        <w:rPr>
          <w:rFonts w:eastAsia="方正仿宋_GBK"/>
          <w:sz w:val="28"/>
        </w:rPr>
        <w:t>年会同省、市委统战部在我区荣景园社区就社区统战工作新模式进行探索研讨，力争年底见到成效。</w:t>
      </w:r>
    </w:p>
    <w:p>
      <w:pPr>
        <w:spacing w:line="500" w:lineRule="exact"/>
        <w:ind w:firstLine="560" w:firstLineChars="200"/>
        <w:jc w:val="left"/>
        <w:rPr>
          <w:rFonts w:eastAsia="方正仿宋_GBK"/>
          <w:sz w:val="28"/>
        </w:rPr>
      </w:pPr>
      <w:r>
        <w:rPr>
          <w:rFonts w:eastAsia="方正仿宋_GBK"/>
          <w:sz w:val="28"/>
        </w:rPr>
        <w:t>4、强化对宗教教职人员和信众的教育培训，引导他们在法律框架下开展活动，</w:t>
      </w:r>
      <w:r>
        <w:rPr>
          <w:rFonts w:hint="eastAsia" w:eastAsia="方正仿宋_GBK"/>
          <w:sz w:val="28"/>
          <w:lang w:eastAsia="zh-CN"/>
        </w:rPr>
        <w:t>坚持我国宗教中国化方向</w:t>
      </w:r>
      <w:r>
        <w:rPr>
          <w:rFonts w:eastAsia="方正仿宋_GBK"/>
          <w:sz w:val="28"/>
        </w:rPr>
        <w:t>。持之以恒地解决宗教疑难问题，对被省、市高度关注的宗教场所存在的问题，认真研究解决办法，积极稳妥化解矛盾隐患，力求了无痕迹的解决，确保我区涉宗教领域和谐稳定。</w:t>
      </w:r>
    </w:p>
    <w:p>
      <w:pPr>
        <w:spacing w:line="500" w:lineRule="exact"/>
        <w:ind w:firstLine="560" w:firstLineChars="200"/>
        <w:jc w:val="left"/>
        <w:rPr>
          <w:rFonts w:eastAsia="方正仿宋_GBK"/>
          <w:sz w:val="28"/>
        </w:rPr>
      </w:pPr>
      <w:r>
        <w:rPr>
          <w:rFonts w:eastAsia="方正仿宋_GBK"/>
          <w:sz w:val="28"/>
        </w:rPr>
        <w:t>5、以民族团结进步创建工作为抓手，做好民族工作，进一步</w:t>
      </w:r>
      <w:r>
        <w:rPr>
          <w:rFonts w:hint="eastAsia" w:eastAsia="方正仿宋_GBK"/>
          <w:sz w:val="28"/>
          <w:lang w:eastAsia="zh-CN"/>
        </w:rPr>
        <w:t>铸牢中华民族共同体意识</w:t>
      </w:r>
      <w:r>
        <w:rPr>
          <w:rFonts w:eastAsia="方正仿宋_GBK"/>
          <w:sz w:val="28"/>
        </w:rPr>
        <w:t>。</w:t>
      </w:r>
    </w:p>
    <w:p>
      <w:pPr>
        <w:spacing w:line="500" w:lineRule="exact"/>
        <w:ind w:firstLine="560" w:firstLineChars="200"/>
        <w:jc w:val="left"/>
        <w:rPr>
          <w:rFonts w:eastAsia="方正仿宋_GBK"/>
          <w:sz w:val="28"/>
        </w:rPr>
      </w:pPr>
      <w:r>
        <w:rPr>
          <w:rFonts w:eastAsia="方正仿宋_GBK"/>
          <w:sz w:val="28"/>
        </w:rPr>
        <w:t>6、深化构建“亲”“清”新型政商关系，畅通民营企业进入新经济渠道，助力转型升级，为我区经济发展添砖加瓦。</w:t>
      </w:r>
    </w:p>
    <w:p>
      <w:pPr>
        <w:spacing w:line="500" w:lineRule="exact"/>
        <w:ind w:firstLine="560" w:firstLineChars="200"/>
        <w:jc w:val="left"/>
        <w:rPr>
          <w:rFonts w:eastAsia="方正仿宋_GBK"/>
          <w:sz w:val="28"/>
        </w:rPr>
      </w:pPr>
      <w:r>
        <w:rPr>
          <w:rFonts w:eastAsia="方正仿宋_GBK"/>
          <w:sz w:val="28"/>
        </w:rPr>
        <w:t>7、深化党外干部工作，加强后备干部队伍建设。完善人才培养协作机制，建设数量充足、结构合理、素质优良、作用突出的党外代表人士队伍。</w:t>
      </w:r>
    </w:p>
    <w:p>
      <w:pPr>
        <w:spacing w:line="500" w:lineRule="exact"/>
        <w:ind w:firstLine="560" w:firstLineChars="200"/>
        <w:jc w:val="left"/>
        <w:rPr>
          <w:rFonts w:eastAsia="方正仿宋_GBK"/>
          <w:sz w:val="28"/>
        </w:rPr>
      </w:pPr>
      <w:r>
        <w:rPr>
          <w:rFonts w:eastAsia="方正仿宋_GBK"/>
          <w:sz w:val="28"/>
        </w:rPr>
        <w:t>8、以成立侨联为契机，做好港澳台工作，壮大港澳台海外爱国力量，不断为我区经济社会的发展拓宽渠道。</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hint="eastAsia" w:eastAsia="方正仿宋_GBK"/>
          <w:sz w:val="28"/>
        </w:rPr>
        <w:t>（二）分项绩效目标</w:t>
      </w:r>
    </w:p>
    <w:p>
      <w:pPr>
        <w:spacing w:line="500" w:lineRule="exact"/>
        <w:ind w:firstLine="560" w:firstLineChars="200"/>
        <w:jc w:val="left"/>
        <w:rPr>
          <w:rFonts w:eastAsia="方正仿宋_GBK"/>
          <w:sz w:val="28"/>
        </w:rPr>
      </w:pPr>
      <w:r>
        <w:rPr>
          <w:rFonts w:eastAsia="方正仿宋_GBK"/>
          <w:sz w:val="28"/>
        </w:rPr>
        <w:t>1、民族宗教统战工作</w:t>
      </w:r>
    </w:p>
    <w:p>
      <w:pPr>
        <w:spacing w:line="500" w:lineRule="exact"/>
        <w:ind w:firstLine="560" w:firstLineChars="200"/>
        <w:jc w:val="left"/>
        <w:rPr>
          <w:rFonts w:eastAsia="方正仿宋_GBK"/>
          <w:sz w:val="28"/>
        </w:rPr>
      </w:pPr>
      <w:r>
        <w:rPr>
          <w:rFonts w:eastAsia="方正仿宋_GBK"/>
          <w:sz w:val="28"/>
        </w:rPr>
        <w:t>绩效目标:涉密。</w:t>
      </w:r>
    </w:p>
    <w:p>
      <w:pPr>
        <w:spacing w:line="500" w:lineRule="exact"/>
        <w:ind w:firstLine="560" w:firstLineChars="200"/>
        <w:jc w:val="left"/>
        <w:rPr>
          <w:rFonts w:eastAsia="方正仿宋_GBK"/>
          <w:sz w:val="28"/>
        </w:rPr>
      </w:pPr>
      <w:r>
        <w:rPr>
          <w:rFonts w:eastAsia="方正仿宋_GBK"/>
          <w:sz w:val="28"/>
        </w:rPr>
        <w:t>绩效指标：涉密、服务对象满意度指标。</w:t>
      </w:r>
    </w:p>
    <w:p>
      <w:pPr>
        <w:spacing w:line="500" w:lineRule="exact"/>
        <w:ind w:firstLine="560" w:firstLineChars="200"/>
        <w:jc w:val="left"/>
        <w:rPr>
          <w:rFonts w:eastAsia="方正仿宋_GBK"/>
          <w:sz w:val="28"/>
        </w:rPr>
      </w:pPr>
      <w:r>
        <w:rPr>
          <w:rFonts w:eastAsia="方正仿宋_GBK"/>
          <w:sz w:val="28"/>
        </w:rPr>
        <w:t>2、无党派代表人士工作和</w:t>
      </w:r>
      <w:r>
        <w:rPr>
          <w:rFonts w:hint="eastAsia" w:eastAsia="方正仿宋_GBK"/>
          <w:sz w:val="28"/>
          <w:lang w:eastAsia="zh-CN"/>
        </w:rPr>
        <w:t>新的社会阶层人士</w:t>
      </w:r>
      <w:r>
        <w:rPr>
          <w:rFonts w:eastAsia="方正仿宋_GBK"/>
          <w:sz w:val="28"/>
        </w:rPr>
        <w:t>统战工作</w:t>
      </w:r>
    </w:p>
    <w:p>
      <w:pPr>
        <w:spacing w:line="500" w:lineRule="exact"/>
        <w:ind w:firstLine="560" w:firstLineChars="200"/>
        <w:jc w:val="left"/>
        <w:rPr>
          <w:rFonts w:eastAsia="方正仿宋_GBK"/>
          <w:sz w:val="28"/>
        </w:rPr>
      </w:pPr>
      <w:r>
        <w:rPr>
          <w:rFonts w:eastAsia="方正仿宋_GBK"/>
          <w:sz w:val="28"/>
        </w:rPr>
        <w:t>绩效目标:以党外知识分子联谊会为依托，开展活动，凝聚共识，弘扬正能量；发挥人才智力优势，服务经济社会发展。</w:t>
      </w:r>
      <w:r>
        <w:rPr>
          <w:rFonts w:hint="eastAsia" w:eastAsia="方正仿宋_GBK"/>
          <w:sz w:val="28"/>
          <w:lang w:eastAsia="zh-CN"/>
        </w:rPr>
        <w:t>新的社会阶层人士</w:t>
      </w:r>
      <w:r>
        <w:rPr>
          <w:rFonts w:eastAsia="方正仿宋_GBK"/>
          <w:sz w:val="28"/>
        </w:rPr>
        <w:t>统战工作稳定有序。</w:t>
      </w:r>
    </w:p>
    <w:p>
      <w:pPr>
        <w:spacing w:line="500" w:lineRule="exact"/>
        <w:ind w:firstLine="560" w:firstLineChars="200"/>
        <w:jc w:val="left"/>
        <w:rPr>
          <w:rFonts w:eastAsia="方正仿宋_GBK"/>
          <w:sz w:val="28"/>
        </w:rPr>
      </w:pPr>
      <w:r>
        <w:rPr>
          <w:rFonts w:eastAsia="方正仿宋_GBK"/>
          <w:sz w:val="28"/>
        </w:rPr>
        <w:t>绩效指标：时效指标、社会效益指标、服务对象满意度指标。</w:t>
      </w:r>
    </w:p>
    <w:p>
      <w:pPr>
        <w:spacing w:line="500" w:lineRule="exact"/>
        <w:ind w:firstLine="560" w:firstLineChars="200"/>
        <w:jc w:val="left"/>
        <w:rPr>
          <w:rFonts w:eastAsia="方正仿宋_GBK"/>
          <w:sz w:val="28"/>
        </w:rPr>
      </w:pPr>
      <w:r>
        <w:rPr>
          <w:rFonts w:eastAsia="方正仿宋_GBK"/>
          <w:sz w:val="28"/>
        </w:rPr>
        <w:t>3、民主党派工作</w:t>
      </w:r>
    </w:p>
    <w:p>
      <w:pPr>
        <w:spacing w:line="500" w:lineRule="exact"/>
        <w:ind w:firstLine="560" w:firstLineChars="200"/>
        <w:jc w:val="left"/>
        <w:rPr>
          <w:rFonts w:eastAsia="方正仿宋_GBK"/>
          <w:sz w:val="28"/>
        </w:rPr>
      </w:pPr>
      <w:r>
        <w:rPr>
          <w:rFonts w:eastAsia="方正仿宋_GBK"/>
          <w:sz w:val="28"/>
        </w:rPr>
        <w:t>绩效目标：不断推进多党合作和政治协商的制度化、规范化，协助民主党派建设高素质干部队伍，不断提高参政议政、民主监督水平。</w:t>
      </w:r>
    </w:p>
    <w:p>
      <w:pPr>
        <w:spacing w:line="500" w:lineRule="exact"/>
        <w:ind w:firstLine="560" w:firstLineChars="200"/>
        <w:jc w:val="left"/>
        <w:rPr>
          <w:rFonts w:eastAsia="方正仿宋_GBK"/>
          <w:sz w:val="28"/>
        </w:rPr>
      </w:pPr>
      <w:r>
        <w:rPr>
          <w:rFonts w:eastAsia="方正仿宋_GBK"/>
          <w:sz w:val="28"/>
        </w:rPr>
        <w:t>绩效指标：时效指标、社会效益指标、服务对象满意度指标。</w:t>
      </w:r>
    </w:p>
    <w:p>
      <w:pPr>
        <w:spacing w:line="500" w:lineRule="exact"/>
        <w:ind w:firstLine="560" w:firstLineChars="200"/>
        <w:jc w:val="left"/>
        <w:rPr>
          <w:rFonts w:eastAsia="方正仿宋_GBK"/>
          <w:sz w:val="28"/>
        </w:rPr>
      </w:pPr>
      <w:r>
        <w:rPr>
          <w:rFonts w:eastAsia="方正仿宋_GBK"/>
          <w:sz w:val="28"/>
        </w:rPr>
        <w:t>4、对台宣传和侨联工作</w:t>
      </w:r>
    </w:p>
    <w:p>
      <w:pPr>
        <w:spacing w:line="500" w:lineRule="exact"/>
        <w:ind w:firstLine="560" w:firstLineChars="200"/>
        <w:jc w:val="left"/>
        <w:rPr>
          <w:rFonts w:eastAsia="方正仿宋_GBK"/>
          <w:sz w:val="28"/>
        </w:rPr>
      </w:pPr>
      <w:r>
        <w:rPr>
          <w:rFonts w:eastAsia="方正仿宋_GBK"/>
          <w:sz w:val="28"/>
        </w:rPr>
        <w:t>绩效目标:通过双向交流互动，加大招商力度，强力推动全区对台文化交流，宣传贯彻党的各项方针政策做好反宣传、反渗透工作，负责协调处理发生在我区及进入我区的各类涉台矛盾、纠纷和案件。</w:t>
      </w:r>
    </w:p>
    <w:p>
      <w:pPr>
        <w:spacing w:line="500" w:lineRule="exact"/>
        <w:ind w:firstLine="560" w:firstLineChars="200"/>
        <w:jc w:val="left"/>
        <w:rPr>
          <w:rFonts w:eastAsia="方正仿宋_GBK"/>
          <w:sz w:val="28"/>
        </w:rPr>
      </w:pPr>
      <w:r>
        <w:rPr>
          <w:rFonts w:eastAsia="方正仿宋_GBK"/>
          <w:sz w:val="28"/>
        </w:rPr>
        <w:t>绩效指标：时效指标、社会效益指标、服务对象满意度指标。</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hint="eastAsia" w:eastAsia="方正仿宋_GBK"/>
          <w:sz w:val="28"/>
        </w:rPr>
        <w:t>（三）工作保障措施</w:t>
      </w:r>
    </w:p>
    <w:p>
      <w:pPr>
        <w:spacing w:line="500" w:lineRule="exact"/>
        <w:ind w:firstLine="560" w:firstLineChars="200"/>
        <w:jc w:val="left"/>
        <w:rPr>
          <w:rFonts w:eastAsia="方正仿宋_GBK"/>
          <w:sz w:val="28"/>
        </w:rPr>
      </w:pPr>
      <w:r>
        <w:rPr>
          <w:rFonts w:eastAsia="方正仿宋_GBK"/>
          <w:sz w:val="28"/>
        </w:rPr>
        <w:t>1、加强制度建设。建立健全机关预算绩效管理制度，为全年预算绩效目标的实现奠定制度基础。</w:t>
      </w:r>
    </w:p>
    <w:p>
      <w:pPr>
        <w:spacing w:line="500" w:lineRule="exact"/>
        <w:ind w:firstLine="560" w:firstLineChars="200"/>
        <w:jc w:val="left"/>
        <w:rPr>
          <w:rFonts w:eastAsia="方正仿宋_GBK"/>
          <w:sz w:val="28"/>
        </w:rPr>
      </w:pPr>
      <w:r>
        <w:rPr>
          <w:rFonts w:eastAsia="方正仿宋_GBK"/>
          <w:sz w:val="28"/>
        </w:rPr>
        <w:t>2、规范财务管理。进一步完善财务管理制度，通过科学编制预算、优化支出结构、加快政府采购、加快项目建设、及时拨付资金，确保经费支出进度达到规定标准。</w:t>
      </w:r>
    </w:p>
    <w:p>
      <w:pPr>
        <w:spacing w:line="500" w:lineRule="exact"/>
        <w:ind w:firstLine="560" w:firstLineChars="200"/>
        <w:jc w:val="left"/>
        <w:rPr>
          <w:rFonts w:eastAsia="方正仿宋_GBK"/>
          <w:sz w:val="28"/>
        </w:rPr>
      </w:pPr>
      <w:r>
        <w:rPr>
          <w:rFonts w:eastAsia="方正仿宋_GBK"/>
          <w:sz w:val="28"/>
        </w:rPr>
        <w:t>3、加强内部监督。加强内部监督制度建设，对绩效运行、重大支出事项、资产处置及其他重要经济业务事项决策和执行进行监督，定期开展财务内部审计，确保财政资金使用安全合规。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560" w:firstLineChars="200"/>
        <w:jc w:val="left"/>
        <w:rPr>
          <w:rFonts w:eastAsia="方正仿宋_GBK"/>
          <w:sz w:val="28"/>
        </w:rPr>
      </w:pPr>
      <w:r>
        <w:rPr>
          <w:rFonts w:eastAsia="方正仿宋_GBK"/>
          <w:sz w:val="28"/>
        </w:rPr>
        <w:t>4、加强绩效监控。积极开展绩效运行监控，发现问题及时采取措施，确保绩效目标如期保质实现。</w:t>
      </w:r>
    </w:p>
    <w:p>
      <w:pPr>
        <w:spacing w:line="500" w:lineRule="exact"/>
        <w:ind w:firstLine="560" w:firstLineChars="200"/>
        <w:jc w:val="left"/>
        <w:rPr>
          <w:rFonts w:eastAsia="方正仿宋_GBK"/>
          <w:sz w:val="28"/>
        </w:rPr>
      </w:pPr>
      <w:r>
        <w:rPr>
          <w:rFonts w:eastAsia="方正仿宋_GBK"/>
          <w:sz w:val="28"/>
        </w:rPr>
        <w:t>5、做好绩效自评。按要求开展</w:t>
      </w:r>
      <w:r>
        <w:rPr>
          <w:rFonts w:hint="eastAsia" w:eastAsia="方正仿宋_GBK"/>
          <w:sz w:val="28"/>
          <w:lang w:eastAsia="zh-CN"/>
        </w:rPr>
        <w:t>单位</w:t>
      </w:r>
      <w:r>
        <w:rPr>
          <w:rFonts w:eastAsia="方正仿宋_GBK"/>
          <w:sz w:val="28"/>
        </w:rPr>
        <w:t>预算绩效自评和重点项目评价工作，对评价中发现的问题及时整改。</w:t>
      </w:r>
    </w:p>
    <w:p>
      <w:pPr>
        <w:spacing w:line="500" w:lineRule="exact"/>
        <w:ind w:firstLine="560" w:firstLineChars="200"/>
        <w:jc w:val="left"/>
        <w:rPr>
          <w:rFonts w:eastAsia="方正仿宋_GBK"/>
          <w:sz w:val="28"/>
        </w:rPr>
      </w:pPr>
      <w:r>
        <w:rPr>
          <w:rFonts w:eastAsia="方正仿宋_GBK"/>
          <w:sz w:val="28"/>
        </w:rPr>
        <w:t>6、加强宣传培训。加强人员培训，加大宣传力度，强化预算绩效管理意识，促进预算绩效管理水平提升。</w:t>
      </w:r>
    </w:p>
    <w:p>
      <w:pPr>
        <w:jc w:val="left"/>
        <w:rPr>
          <w:rFonts w:hint="eastAsia" w:ascii="方正楷体_GBK" w:eastAsia="方正楷体_GBK"/>
          <w:b/>
          <w:sz w:val="32"/>
          <w:lang w:eastAsia="zh-CN"/>
        </w:rPr>
      </w:pPr>
    </w:p>
    <w:p>
      <w:pPr>
        <w:ind w:firstLine="643" w:firstLineChars="200"/>
        <w:jc w:val="left"/>
        <w:rPr>
          <w:rFonts w:hint="eastAsia" w:hAnsi="宋体"/>
          <w:b/>
          <w:sz w:val="32"/>
        </w:rPr>
      </w:pPr>
      <w:r>
        <w:rPr>
          <w:rFonts w:hint="eastAsia" w:ascii="方正楷体_GBK" w:eastAsia="方正楷体_GBK"/>
          <w:b/>
          <w:sz w:val="32"/>
        </w:rPr>
        <w:t>第</w:t>
      </w:r>
      <w:r>
        <w:rPr>
          <w:rFonts w:hint="eastAsia" w:ascii="方正楷体_GBK" w:eastAsia="方正楷体_GBK"/>
          <w:b/>
          <w:sz w:val="32"/>
          <w:lang w:eastAsia="zh-CN"/>
        </w:rPr>
        <w:t>二</w:t>
      </w:r>
      <w:r>
        <w:rPr>
          <w:rFonts w:hint="eastAsia" w:ascii="方正楷体_GBK" w:eastAsia="方正楷体_GBK"/>
          <w:b/>
          <w:sz w:val="32"/>
        </w:rPr>
        <w:t>部分  预算项目绩效目标</w:t>
      </w:r>
    </w:p>
    <w:p>
      <w:pPr>
        <w:ind w:firstLine="420" w:firstLineChars="200"/>
        <w:jc w:val="left"/>
      </w:pPr>
    </w:p>
    <w:p>
      <w:pPr>
        <w:ind w:firstLine="562" w:firstLineChars="200"/>
        <w:jc w:val="left"/>
        <w:rPr>
          <w:rFonts w:hint="eastAsia" w:hAnsi="宋体"/>
          <w:b/>
          <w:sz w:val="28"/>
        </w:rPr>
      </w:pPr>
      <w:r>
        <w:rPr>
          <w:rFonts w:hint="eastAsia" w:ascii="方正仿宋_GBK" w:eastAsia="方正仿宋_GBK"/>
          <w:b/>
          <w:sz w:val="28"/>
        </w:rPr>
        <w:t>1、2021年市本级少数民族地区补助费绩效目标表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发展民族文体育和科技等社会事业，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开展民族工作培训</w:t>
            </w:r>
          </w:p>
        </w:tc>
      </w:tr>
    </w:tbl>
    <w:p>
      <w:pPr>
        <w:spacing w:line="14" w:lineRule="exact"/>
        <w:jc w:val="center"/>
        <w:rPr>
          <w:rFonts w:hAnsi="宋体"/>
          <w:sz w:val="18"/>
        </w:rPr>
      </w:pPr>
      <w:r>
        <w:rPr>
          <w:rFonts w:ascii="方正书宋_GBK" w:eastAsia="方正书宋_GBK"/>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民族工作培训</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民族工作培训次数</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民族工作培训次数</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促进民族团结进步事业发展</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促进民族团结进步事业发展</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促进民族团结进步事业发展</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确保民族关系和谐</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确保民族关系和谐</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确保民族关系和谐</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项目运行成本</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民族关系和谐</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民族关系和谐</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民族关系和谐</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民族关系调查满意度</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民族关系调查满意度</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民族关系调查满意度</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调查人员满意度</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2、民族宗教工作绩效目标表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调查研究民族宗教工作方针政策，做好民族宗教工作问题处理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做好民族宗教人员的培养工作，做好宗教维稳</w:t>
            </w:r>
          </w:p>
        </w:tc>
      </w:tr>
    </w:tbl>
    <w:p>
      <w:pPr>
        <w:spacing w:line="14" w:lineRule="exact"/>
        <w:jc w:val="center"/>
        <w:rPr>
          <w:rFonts w:hAnsi="宋体"/>
          <w:sz w:val="18"/>
        </w:rPr>
      </w:pPr>
      <w:r>
        <w:rPr>
          <w:rFonts w:ascii="方正书宋_GBK" w:eastAsia="方正书宋_GBK"/>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民族宗教工作培训批次、人数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培训工作情况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培训工作情况</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宗教工作专干队伍建设情况</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人员配备完善，个人能力较强</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人员配备完善，个人能力较强</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宗教专干能力提高</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宗教工作专干能力水平提高</w:t>
            </w:r>
          </w:p>
        </w:tc>
        <w:tc>
          <w:tcPr>
            <w:tcW w:w="2551"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宗教工作专干能力水平提高</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非法宗教活动处置数量</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排除隐患，处置得力</w:t>
            </w:r>
          </w:p>
        </w:tc>
        <w:tc>
          <w:tcPr>
            <w:tcW w:w="2551"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排除隐患，处置得力</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排除隐患，处置得力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项目运行成本</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宗教领域矛盾调处效果好</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民族宗教和谐，社会稳定</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民族宗教和谐，社会稳定</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民族宗教和谐，社会稳定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民族宗教人员调查数量</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民族宗教人员调查数量满意度</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民族宗教人员调查数量满意度</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调查数量满意度的百分比</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3、党派活动工作绩效目标表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进一步加强中国共产党领导的多党合作和政治协商制度建设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充分发挥民主党派职能作用，构建和谐政党关系</w:t>
            </w:r>
          </w:p>
        </w:tc>
      </w:tr>
    </w:tbl>
    <w:p>
      <w:pPr>
        <w:spacing w:line="14" w:lineRule="exact"/>
        <w:jc w:val="center"/>
        <w:rPr>
          <w:rFonts w:hAnsi="宋体"/>
          <w:sz w:val="18"/>
        </w:rPr>
      </w:pPr>
      <w:r>
        <w:rPr>
          <w:rFonts w:ascii="方正书宋_GBK" w:eastAsia="方正书宋_GBK"/>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组织调研</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按期组织调研工作</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按期组织调研工作</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加强民主党派自身建设工作</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年度内完成工作占计划量的比例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年度内完成工作占计划量的比例</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民主党派履行职能支持工作</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年度内完成工作占计划量的比例</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年度内完成工作占计划量的比例</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推进政党协商制度建设工作完成率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年度内完成工作占计划量的比例</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年度内完成工作占计划量的比例</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hint="eastAsia" w:ascii="方正书宋_GBK" w:eastAsia="方正书宋_GBK"/>
              </w:rPr>
            </w:pP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项目运行成本</w:t>
            </w:r>
          </w:p>
        </w:tc>
        <w:tc>
          <w:tcPr>
            <w:tcW w:w="2551"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项目运行成本</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各民主党派关系</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各民主党派关系和谐稳定</w:t>
            </w:r>
          </w:p>
        </w:tc>
        <w:tc>
          <w:tcPr>
            <w:tcW w:w="2551"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各民主党派关系和谐稳定</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各民主党派关系和谐稳定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各民主党派满意率</w:t>
            </w:r>
          </w:p>
        </w:tc>
        <w:tc>
          <w:tcPr>
            <w:tcW w:w="2835" w:type="dxa"/>
            <w:vAlign w:val="center"/>
          </w:tcPr>
          <w:p>
            <w:pPr>
              <w:spacing w:line="300" w:lineRule="exact"/>
              <w:jc w:val="left"/>
              <w:rPr>
                <w:rFonts w:hint="eastAsia" w:ascii="方正书宋_GBK" w:eastAsia="方正书宋_GBK"/>
              </w:rPr>
            </w:pPr>
            <w:r>
              <w:rPr>
                <w:rFonts w:hint="eastAsia" w:ascii="方正书宋_GBK" w:eastAsia="方正书宋_GBK"/>
              </w:rPr>
              <w:t>各民主党派队活动开展情况的满意程度</w:t>
            </w:r>
          </w:p>
        </w:tc>
        <w:tc>
          <w:tcPr>
            <w:tcW w:w="2551" w:type="dxa"/>
            <w:vAlign w:val="center"/>
          </w:tcPr>
          <w:p>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各民主党派队活动开展情况的满意程度</w:t>
            </w:r>
          </w:p>
        </w:tc>
        <w:tc>
          <w:tcPr>
            <w:tcW w:w="2268" w:type="dxa"/>
            <w:vAlign w:val="center"/>
          </w:tcPr>
          <w:p>
            <w:pPr>
              <w:spacing w:line="300" w:lineRule="exact"/>
              <w:jc w:val="left"/>
              <w:rPr>
                <w:rFonts w:hint="eastAsia" w:ascii="方正书宋_GBK" w:eastAsia="方正书宋_GBK"/>
              </w:rPr>
            </w:pPr>
            <w:r>
              <w:rPr>
                <w:rFonts w:hint="eastAsia" w:ascii="方正书宋_GBK" w:eastAsia="方正书宋_GBK"/>
              </w:rPr>
              <w:t>各民主党派队活动开展情况的满意程度</w:t>
            </w:r>
          </w:p>
        </w:tc>
      </w:tr>
    </w:tbl>
    <w:p>
      <w:pPr>
        <w:spacing w:line="300" w:lineRule="exact"/>
        <w:jc w:val="left"/>
      </w:pPr>
    </w:p>
    <w:p>
      <w:pPr>
        <w:spacing w:before="156" w:beforeLines="50" w:after="156" w:afterLines="50"/>
        <w:ind w:firstLine="640" w:firstLineChars="200"/>
        <w:jc w:val="left"/>
        <w:outlineLvl w:val="2"/>
        <w:rPr>
          <w:rFonts w:hint="eastAsia" w:hAnsi="宋体"/>
          <w:sz w:val="32"/>
        </w:rPr>
      </w:pPr>
      <w:bookmarkStart w:id="5" w:name="_Toc67581832"/>
      <w:r>
        <w:rPr>
          <w:rFonts w:hint="eastAsia" w:ascii="黑体" w:eastAsia="黑体"/>
          <w:sz w:val="32"/>
        </w:rPr>
        <w:t>六、政府采购预算情况</w:t>
      </w:r>
      <w:bookmarkEnd w:id="5"/>
    </w:p>
    <w:p>
      <w:pPr>
        <w:spacing w:line="500" w:lineRule="exact"/>
        <w:ind w:firstLine="560" w:firstLineChars="200"/>
        <w:jc w:val="left"/>
        <w:rPr>
          <w:rFonts w:hint="eastAsia" w:hAnsi="宋体"/>
          <w:sz w:val="28"/>
        </w:rPr>
      </w:pPr>
      <w:r>
        <w:rPr>
          <w:rFonts w:hint="eastAsia" w:eastAsia="方正仿宋_GBK"/>
          <w:sz w:val="28"/>
        </w:rPr>
        <w:t>2021年，中共石家庄市长安区委统战部安排政府采购预算0.50万元。</w:t>
      </w:r>
    </w:p>
    <w:tbl>
      <w:tblPr>
        <w:tblStyle w:val="6"/>
        <w:tblpPr w:leftFromText="180" w:rightFromText="180" w:vertAnchor="text" w:horzAnchor="page" w:tblpX="1186" w:tblpY="620"/>
        <w:tblOverlap w:val="never"/>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0"/>
        <w:gridCol w:w="1027"/>
        <w:gridCol w:w="1438"/>
        <w:gridCol w:w="1325"/>
        <w:gridCol w:w="810"/>
        <w:gridCol w:w="870"/>
        <w:gridCol w:w="915"/>
        <w:gridCol w:w="1110"/>
        <w:gridCol w:w="1255"/>
        <w:gridCol w:w="1103"/>
        <w:gridCol w:w="1103"/>
        <w:gridCol w:w="1103"/>
        <w:gridCol w:w="11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1" w:hRule="atLeast"/>
          <w:tblHeader/>
        </w:trPr>
        <w:tc>
          <w:tcPr>
            <w:tcW w:w="8115"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eastAsia="zh-CN"/>
              </w:rPr>
              <w:t>213001中共石家庄市长安区委统战部本级</w:t>
            </w:r>
          </w:p>
        </w:tc>
        <w:tc>
          <w:tcPr>
            <w:tcW w:w="678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1" w:hRule="atLeast"/>
          <w:tblHeader/>
        </w:trPr>
        <w:tc>
          <w:tcPr>
            <w:tcW w:w="2757"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438"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325"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10"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7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78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w:t>
            </w:r>
            <w:r>
              <w:rPr>
                <w:rFonts w:hint="eastAsia" w:ascii="方正书宋_GBK" w:eastAsia="方正书宋_GBK"/>
                <w:b/>
                <w:lang w:eastAsia="zh-CN"/>
              </w:rPr>
              <w:t>单位</w:t>
            </w:r>
            <w:r>
              <w:rPr>
                <w:rFonts w:hint="eastAsia" w:ascii="方正书宋_GBK" w:eastAsia="方正书宋_GBK"/>
                <w:b/>
              </w:rP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3" w:hRule="atLeast"/>
          <w:tblHeader/>
        </w:trPr>
        <w:tc>
          <w:tcPr>
            <w:tcW w:w="1730"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27"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438" w:type="dxa"/>
            <w:vMerge w:val="continue"/>
            <w:vAlign w:val="center"/>
          </w:tcPr>
          <w:p>
            <w:pPr>
              <w:spacing w:line="300" w:lineRule="exact"/>
              <w:jc w:val="left"/>
            </w:pPr>
          </w:p>
        </w:tc>
        <w:tc>
          <w:tcPr>
            <w:tcW w:w="1325" w:type="dxa"/>
            <w:vMerge w:val="continue"/>
            <w:vAlign w:val="center"/>
          </w:tcPr>
          <w:p>
            <w:pPr>
              <w:spacing w:line="300" w:lineRule="exact"/>
              <w:jc w:val="left"/>
            </w:pPr>
          </w:p>
        </w:tc>
        <w:tc>
          <w:tcPr>
            <w:tcW w:w="810" w:type="dxa"/>
            <w:vMerge w:val="continue"/>
            <w:vAlign w:val="center"/>
          </w:tcPr>
          <w:p>
            <w:pPr>
              <w:spacing w:line="300" w:lineRule="exact"/>
              <w:jc w:val="left"/>
            </w:pPr>
          </w:p>
        </w:tc>
        <w:tc>
          <w:tcPr>
            <w:tcW w:w="870" w:type="dxa"/>
            <w:vMerge w:val="continue"/>
            <w:vAlign w:val="center"/>
          </w:tcPr>
          <w:p>
            <w:pPr>
              <w:spacing w:line="300" w:lineRule="exact"/>
              <w:jc w:val="left"/>
            </w:pPr>
          </w:p>
        </w:tc>
        <w:tc>
          <w:tcPr>
            <w:tcW w:w="915" w:type="dxa"/>
            <w:vMerge w:val="continue"/>
            <w:vAlign w:val="center"/>
          </w:tcPr>
          <w:p>
            <w:pPr>
              <w:spacing w:line="300" w:lineRule="exact"/>
              <w:jc w:val="left"/>
            </w:pPr>
          </w:p>
        </w:tc>
        <w:tc>
          <w:tcPr>
            <w:tcW w:w="1110"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25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0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03"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0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10"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81" w:hRule="atLeast"/>
        </w:trPr>
        <w:tc>
          <w:tcPr>
            <w:tcW w:w="1730"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027" w:type="dxa"/>
            <w:vAlign w:val="center"/>
          </w:tcPr>
          <w:p>
            <w:pPr>
              <w:spacing w:line="300" w:lineRule="exact"/>
              <w:jc w:val="right"/>
              <w:rPr>
                <w:rFonts w:ascii="方正书宋_GBK" w:eastAsia="方正书宋_GBK"/>
                <w:b/>
              </w:rPr>
            </w:pPr>
            <w:r>
              <w:rPr>
                <w:rFonts w:ascii="方正书宋_GBK" w:eastAsia="方正书宋_GBK"/>
              </w:rPr>
              <w:t>1.00</w:t>
            </w:r>
          </w:p>
        </w:tc>
        <w:tc>
          <w:tcPr>
            <w:tcW w:w="1438" w:type="dxa"/>
            <w:vAlign w:val="center"/>
          </w:tcPr>
          <w:p>
            <w:pPr>
              <w:spacing w:line="300" w:lineRule="exact"/>
              <w:jc w:val="left"/>
              <w:rPr>
                <w:rFonts w:ascii="方正书宋_GBK" w:eastAsia="方正书宋_GBK"/>
                <w:b/>
              </w:rPr>
            </w:pPr>
            <w:r>
              <w:rPr>
                <w:rFonts w:hint="eastAsia" w:ascii="方正书宋_GBK" w:eastAsia="方正书宋_GBK"/>
              </w:rPr>
              <w:t>台式计算机</w:t>
            </w:r>
          </w:p>
        </w:tc>
        <w:tc>
          <w:tcPr>
            <w:tcW w:w="1325" w:type="dxa"/>
            <w:vAlign w:val="center"/>
          </w:tcPr>
          <w:p>
            <w:pPr>
              <w:spacing w:line="300" w:lineRule="exact"/>
              <w:jc w:val="left"/>
              <w:rPr>
                <w:rFonts w:ascii="方正书宋_GBK" w:eastAsia="方正书宋_GBK"/>
                <w:b/>
              </w:rPr>
            </w:pPr>
            <w:r>
              <w:rPr>
                <w:rFonts w:ascii="方正书宋_GBK" w:eastAsia="方正书宋_GBK"/>
              </w:rPr>
              <w:t>A02010104</w:t>
            </w:r>
          </w:p>
        </w:tc>
        <w:tc>
          <w:tcPr>
            <w:tcW w:w="810" w:type="dxa"/>
            <w:vAlign w:val="center"/>
          </w:tcPr>
          <w:p>
            <w:pPr>
              <w:spacing w:line="300" w:lineRule="exact"/>
              <w:jc w:val="center"/>
              <w:rPr>
                <w:rFonts w:ascii="方正书宋_GBK" w:eastAsia="方正书宋_GBK"/>
                <w:b/>
              </w:rPr>
            </w:pPr>
            <w:r>
              <w:rPr>
                <w:rFonts w:hint="eastAsia" w:ascii="方正书宋_GBK" w:eastAsia="方正书宋_GBK"/>
              </w:rPr>
              <w:t>台</w:t>
            </w:r>
          </w:p>
        </w:tc>
        <w:tc>
          <w:tcPr>
            <w:tcW w:w="870" w:type="dxa"/>
            <w:vAlign w:val="center"/>
          </w:tcPr>
          <w:p>
            <w:pPr>
              <w:spacing w:line="300" w:lineRule="exact"/>
              <w:jc w:val="right"/>
              <w:rPr>
                <w:rFonts w:ascii="方正书宋_GBK" w:eastAsia="方正书宋_GBK"/>
                <w:b/>
              </w:rPr>
            </w:pPr>
            <w:r>
              <w:rPr>
                <w:rFonts w:ascii="方正书宋_GBK" w:eastAsia="方正书宋_GBK"/>
              </w:rPr>
              <w:t>1</w:t>
            </w:r>
          </w:p>
        </w:tc>
        <w:tc>
          <w:tcPr>
            <w:tcW w:w="915" w:type="dxa"/>
            <w:vAlign w:val="center"/>
          </w:tcPr>
          <w:p>
            <w:pPr>
              <w:spacing w:line="300" w:lineRule="exact"/>
              <w:jc w:val="right"/>
              <w:rPr>
                <w:rFonts w:ascii="方正书宋_GBK" w:eastAsia="方正书宋_GBK"/>
                <w:b/>
              </w:rPr>
            </w:pPr>
            <w:r>
              <w:rPr>
                <w:rFonts w:ascii="方正书宋_GBK" w:eastAsia="方正书宋_GBK"/>
              </w:rPr>
              <w:t>0.50</w:t>
            </w:r>
          </w:p>
        </w:tc>
        <w:tc>
          <w:tcPr>
            <w:tcW w:w="1110" w:type="dxa"/>
            <w:vAlign w:val="center"/>
          </w:tcPr>
          <w:p>
            <w:pPr>
              <w:spacing w:line="300" w:lineRule="exact"/>
              <w:jc w:val="right"/>
              <w:rPr>
                <w:rFonts w:ascii="方正书宋_GBK" w:eastAsia="方正书宋_GBK"/>
                <w:b/>
              </w:rPr>
            </w:pPr>
            <w:r>
              <w:rPr>
                <w:rFonts w:ascii="方正书宋_GBK" w:eastAsia="方正书宋_GBK"/>
                <w:b/>
              </w:rPr>
              <w:t>0.50</w:t>
            </w:r>
          </w:p>
        </w:tc>
        <w:tc>
          <w:tcPr>
            <w:tcW w:w="1255" w:type="dxa"/>
            <w:vAlign w:val="center"/>
          </w:tcPr>
          <w:p>
            <w:pPr>
              <w:spacing w:line="300" w:lineRule="exact"/>
              <w:jc w:val="right"/>
              <w:rPr>
                <w:rFonts w:ascii="方正书宋_GBK" w:eastAsia="方正书宋_GBK"/>
                <w:b/>
              </w:rPr>
            </w:pPr>
            <w:r>
              <w:rPr>
                <w:rFonts w:ascii="方正书宋_GBK" w:eastAsia="方正书宋_GBK"/>
                <w:b/>
              </w:rPr>
              <w:t>0.50</w:t>
            </w:r>
          </w:p>
        </w:tc>
        <w:tc>
          <w:tcPr>
            <w:tcW w:w="1103" w:type="dxa"/>
            <w:vAlign w:val="center"/>
          </w:tcPr>
          <w:p>
            <w:pPr>
              <w:spacing w:line="300" w:lineRule="exact"/>
              <w:jc w:val="right"/>
              <w:rPr>
                <w:rFonts w:ascii="方正书宋_GBK" w:eastAsia="方正书宋_GBK"/>
                <w:b/>
              </w:rPr>
            </w:pPr>
          </w:p>
        </w:tc>
        <w:tc>
          <w:tcPr>
            <w:tcW w:w="1103" w:type="dxa"/>
            <w:vAlign w:val="center"/>
          </w:tcPr>
          <w:p>
            <w:pPr>
              <w:spacing w:line="300" w:lineRule="exact"/>
              <w:jc w:val="right"/>
              <w:rPr>
                <w:rFonts w:ascii="方正书宋_GBK" w:eastAsia="方正书宋_GBK"/>
                <w:b/>
              </w:rPr>
            </w:pPr>
          </w:p>
        </w:tc>
        <w:tc>
          <w:tcPr>
            <w:tcW w:w="1103" w:type="dxa"/>
            <w:vAlign w:val="center"/>
          </w:tcPr>
          <w:p>
            <w:pPr>
              <w:spacing w:line="300" w:lineRule="exact"/>
              <w:jc w:val="right"/>
              <w:rPr>
                <w:rFonts w:ascii="方正书宋_GBK" w:eastAsia="方正书宋_GBK"/>
                <w:b/>
              </w:rPr>
            </w:pPr>
          </w:p>
        </w:tc>
        <w:tc>
          <w:tcPr>
            <w:tcW w:w="111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3" w:hRule="atLeast"/>
        </w:trPr>
        <w:tc>
          <w:tcPr>
            <w:tcW w:w="1730" w:type="dxa"/>
            <w:vAlign w:val="center"/>
          </w:tcPr>
          <w:p>
            <w:pPr>
              <w:spacing w:line="300" w:lineRule="exact"/>
              <w:jc w:val="center"/>
              <w:rPr>
                <w:rFonts w:hint="eastAsia" w:ascii="方正书宋_GBK" w:eastAsia="方正书宋_GBK"/>
                <w:b/>
              </w:rPr>
            </w:pPr>
            <w:r>
              <w:rPr>
                <w:rFonts w:hint="eastAsia" w:ascii="方正书宋_GBK" w:eastAsia="方正书宋_GBK"/>
                <w:b/>
              </w:rPr>
              <w:t>中共石家庄市长安区委统战部本级小计</w:t>
            </w:r>
          </w:p>
        </w:tc>
        <w:tc>
          <w:tcPr>
            <w:tcW w:w="1027" w:type="dxa"/>
            <w:vAlign w:val="center"/>
          </w:tcPr>
          <w:p>
            <w:pPr>
              <w:spacing w:line="300" w:lineRule="exact"/>
              <w:jc w:val="right"/>
              <w:rPr>
                <w:rFonts w:ascii="方正书宋_GBK" w:eastAsia="方正书宋_GBK"/>
                <w:b/>
              </w:rPr>
            </w:pPr>
            <w:r>
              <w:rPr>
                <w:rFonts w:ascii="方正书宋_GBK" w:eastAsia="方正书宋_GBK"/>
              </w:rPr>
              <w:t>1.00</w:t>
            </w:r>
          </w:p>
        </w:tc>
        <w:tc>
          <w:tcPr>
            <w:tcW w:w="1438" w:type="dxa"/>
            <w:vAlign w:val="center"/>
          </w:tcPr>
          <w:p>
            <w:pPr>
              <w:spacing w:line="300" w:lineRule="exact"/>
              <w:jc w:val="left"/>
              <w:rPr>
                <w:rFonts w:ascii="方正书宋_GBK" w:eastAsia="方正书宋_GBK"/>
                <w:b/>
              </w:rPr>
            </w:pPr>
            <w:r>
              <w:rPr>
                <w:rFonts w:hint="eastAsia" w:ascii="方正书宋_GBK" w:eastAsia="方正书宋_GBK"/>
              </w:rPr>
              <w:t>台式计算机</w:t>
            </w:r>
          </w:p>
        </w:tc>
        <w:tc>
          <w:tcPr>
            <w:tcW w:w="1325" w:type="dxa"/>
            <w:vAlign w:val="center"/>
          </w:tcPr>
          <w:p>
            <w:pPr>
              <w:spacing w:line="300" w:lineRule="exact"/>
              <w:jc w:val="left"/>
              <w:rPr>
                <w:rFonts w:ascii="方正书宋_GBK" w:eastAsia="方正书宋_GBK"/>
                <w:b/>
              </w:rPr>
            </w:pPr>
            <w:r>
              <w:rPr>
                <w:rFonts w:ascii="方正书宋_GBK" w:eastAsia="方正书宋_GBK"/>
              </w:rPr>
              <w:t>A02010104</w:t>
            </w:r>
          </w:p>
        </w:tc>
        <w:tc>
          <w:tcPr>
            <w:tcW w:w="810" w:type="dxa"/>
            <w:vAlign w:val="center"/>
          </w:tcPr>
          <w:p>
            <w:pPr>
              <w:spacing w:line="300" w:lineRule="exact"/>
              <w:jc w:val="center"/>
              <w:rPr>
                <w:rFonts w:ascii="方正书宋_GBK" w:eastAsia="方正书宋_GBK"/>
                <w:b/>
              </w:rPr>
            </w:pPr>
            <w:r>
              <w:rPr>
                <w:rFonts w:hint="eastAsia" w:ascii="方正书宋_GBK" w:eastAsia="方正书宋_GBK"/>
              </w:rPr>
              <w:t>台</w:t>
            </w:r>
          </w:p>
        </w:tc>
        <w:tc>
          <w:tcPr>
            <w:tcW w:w="870" w:type="dxa"/>
            <w:vAlign w:val="center"/>
          </w:tcPr>
          <w:p>
            <w:pPr>
              <w:spacing w:line="300" w:lineRule="exact"/>
              <w:jc w:val="right"/>
              <w:rPr>
                <w:rFonts w:ascii="方正书宋_GBK" w:eastAsia="方正书宋_GBK"/>
                <w:b/>
              </w:rPr>
            </w:pPr>
            <w:r>
              <w:rPr>
                <w:rFonts w:ascii="方正书宋_GBK" w:eastAsia="方正书宋_GBK"/>
              </w:rPr>
              <w:t>1</w:t>
            </w:r>
          </w:p>
        </w:tc>
        <w:tc>
          <w:tcPr>
            <w:tcW w:w="915" w:type="dxa"/>
            <w:vAlign w:val="center"/>
          </w:tcPr>
          <w:p>
            <w:pPr>
              <w:spacing w:line="300" w:lineRule="exact"/>
              <w:jc w:val="right"/>
              <w:rPr>
                <w:rFonts w:ascii="方正书宋_GBK" w:eastAsia="方正书宋_GBK"/>
                <w:b/>
              </w:rPr>
            </w:pPr>
            <w:r>
              <w:rPr>
                <w:rFonts w:ascii="方正书宋_GBK" w:eastAsia="方正书宋_GBK"/>
              </w:rPr>
              <w:t>0.50</w:t>
            </w:r>
          </w:p>
        </w:tc>
        <w:tc>
          <w:tcPr>
            <w:tcW w:w="1110" w:type="dxa"/>
            <w:vAlign w:val="center"/>
          </w:tcPr>
          <w:p>
            <w:pPr>
              <w:spacing w:line="300" w:lineRule="exact"/>
              <w:jc w:val="right"/>
              <w:rPr>
                <w:rFonts w:ascii="方正书宋_GBK" w:eastAsia="方正书宋_GBK"/>
                <w:b/>
              </w:rPr>
            </w:pPr>
            <w:r>
              <w:rPr>
                <w:rFonts w:ascii="方正书宋_GBK" w:eastAsia="方正书宋_GBK"/>
                <w:b/>
              </w:rPr>
              <w:t>0.50</w:t>
            </w:r>
          </w:p>
        </w:tc>
        <w:tc>
          <w:tcPr>
            <w:tcW w:w="1255" w:type="dxa"/>
            <w:vAlign w:val="center"/>
          </w:tcPr>
          <w:p>
            <w:pPr>
              <w:spacing w:line="300" w:lineRule="exact"/>
              <w:jc w:val="right"/>
              <w:rPr>
                <w:rFonts w:ascii="方正书宋_GBK" w:eastAsia="方正书宋_GBK"/>
                <w:b/>
              </w:rPr>
            </w:pPr>
            <w:r>
              <w:rPr>
                <w:rFonts w:ascii="方正书宋_GBK" w:eastAsia="方正书宋_GBK"/>
                <w:b/>
              </w:rPr>
              <w:t>0.50</w:t>
            </w:r>
          </w:p>
        </w:tc>
        <w:tc>
          <w:tcPr>
            <w:tcW w:w="1103" w:type="dxa"/>
            <w:vAlign w:val="center"/>
          </w:tcPr>
          <w:p>
            <w:pPr>
              <w:spacing w:line="300" w:lineRule="exact"/>
              <w:jc w:val="right"/>
              <w:rPr>
                <w:rFonts w:ascii="方正书宋_GBK" w:eastAsia="方正书宋_GBK"/>
                <w:b/>
              </w:rPr>
            </w:pPr>
          </w:p>
        </w:tc>
        <w:tc>
          <w:tcPr>
            <w:tcW w:w="1103" w:type="dxa"/>
            <w:vAlign w:val="center"/>
          </w:tcPr>
          <w:p>
            <w:pPr>
              <w:spacing w:line="300" w:lineRule="exact"/>
              <w:jc w:val="right"/>
              <w:rPr>
                <w:rFonts w:ascii="方正书宋_GBK" w:eastAsia="方正书宋_GBK"/>
                <w:b/>
              </w:rPr>
            </w:pPr>
          </w:p>
        </w:tc>
        <w:tc>
          <w:tcPr>
            <w:tcW w:w="1103" w:type="dxa"/>
            <w:vAlign w:val="center"/>
          </w:tcPr>
          <w:p>
            <w:pPr>
              <w:spacing w:line="300" w:lineRule="exact"/>
              <w:jc w:val="right"/>
              <w:rPr>
                <w:rFonts w:ascii="方正书宋_GBK" w:eastAsia="方正书宋_GBK"/>
                <w:b/>
              </w:rPr>
            </w:pPr>
          </w:p>
        </w:tc>
        <w:tc>
          <w:tcPr>
            <w:tcW w:w="111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0" w:hRule="atLeast"/>
        </w:trPr>
        <w:tc>
          <w:tcPr>
            <w:tcW w:w="1730" w:type="dxa"/>
            <w:vAlign w:val="center"/>
          </w:tcPr>
          <w:p>
            <w:pPr>
              <w:spacing w:line="300" w:lineRule="exact"/>
              <w:jc w:val="left"/>
              <w:rPr>
                <w:rFonts w:hint="eastAsia" w:ascii="方正书宋_GBK" w:eastAsia="方正书宋_GBK"/>
              </w:rPr>
            </w:pPr>
            <w:r>
              <w:rPr>
                <w:rFonts w:hint="eastAsia" w:ascii="方正书宋_GBK" w:eastAsia="方正书宋_GBK"/>
              </w:rPr>
              <w:t>民族宗教工作</w:t>
            </w:r>
          </w:p>
        </w:tc>
        <w:tc>
          <w:tcPr>
            <w:tcW w:w="1027" w:type="dxa"/>
            <w:vAlign w:val="center"/>
          </w:tcPr>
          <w:p>
            <w:pPr>
              <w:spacing w:line="300" w:lineRule="exact"/>
              <w:jc w:val="right"/>
              <w:rPr>
                <w:rFonts w:ascii="方正书宋_GBK" w:eastAsia="方正书宋_GBK"/>
              </w:rPr>
            </w:pPr>
            <w:r>
              <w:rPr>
                <w:rFonts w:ascii="方正书宋_GBK" w:eastAsia="方正书宋_GBK"/>
              </w:rPr>
              <w:t>1.00</w:t>
            </w:r>
          </w:p>
        </w:tc>
        <w:tc>
          <w:tcPr>
            <w:tcW w:w="1438" w:type="dxa"/>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325" w:type="dxa"/>
            <w:vAlign w:val="center"/>
          </w:tcPr>
          <w:p>
            <w:pPr>
              <w:spacing w:line="300" w:lineRule="exact"/>
              <w:jc w:val="left"/>
              <w:rPr>
                <w:rFonts w:ascii="方正书宋_GBK" w:eastAsia="方正书宋_GBK"/>
              </w:rPr>
            </w:pPr>
            <w:r>
              <w:rPr>
                <w:rFonts w:ascii="方正书宋_GBK" w:eastAsia="方正书宋_GBK"/>
              </w:rPr>
              <w:t>A02010104</w:t>
            </w:r>
          </w:p>
        </w:tc>
        <w:tc>
          <w:tcPr>
            <w:tcW w:w="810" w:type="dxa"/>
            <w:vAlign w:val="center"/>
          </w:tcPr>
          <w:p>
            <w:pPr>
              <w:spacing w:line="300" w:lineRule="exact"/>
              <w:jc w:val="center"/>
              <w:rPr>
                <w:rFonts w:ascii="方正书宋_GBK" w:eastAsia="方正书宋_GBK"/>
              </w:rPr>
            </w:pPr>
            <w:r>
              <w:rPr>
                <w:rFonts w:hint="eastAsia" w:ascii="方正书宋_GBK" w:eastAsia="方正书宋_GBK"/>
              </w:rPr>
              <w:t>台</w:t>
            </w:r>
          </w:p>
        </w:tc>
        <w:tc>
          <w:tcPr>
            <w:tcW w:w="870" w:type="dxa"/>
            <w:vAlign w:val="center"/>
          </w:tcPr>
          <w:p>
            <w:pPr>
              <w:spacing w:line="300" w:lineRule="exact"/>
              <w:jc w:val="right"/>
              <w:rPr>
                <w:rFonts w:ascii="方正书宋_GBK" w:eastAsia="方正书宋_GBK"/>
              </w:rPr>
            </w:pPr>
            <w:r>
              <w:rPr>
                <w:rFonts w:ascii="方正书宋_GBK" w:eastAsia="方正书宋_GBK"/>
              </w:rPr>
              <w:t>1</w:t>
            </w:r>
          </w:p>
        </w:tc>
        <w:tc>
          <w:tcPr>
            <w:tcW w:w="915" w:type="dxa"/>
            <w:vAlign w:val="center"/>
          </w:tcPr>
          <w:p>
            <w:pPr>
              <w:spacing w:line="300" w:lineRule="exact"/>
              <w:jc w:val="right"/>
              <w:rPr>
                <w:rFonts w:ascii="方正书宋_GBK" w:eastAsia="方正书宋_GBK"/>
              </w:rPr>
            </w:pPr>
            <w:r>
              <w:rPr>
                <w:rFonts w:ascii="方正书宋_GBK" w:eastAsia="方正书宋_GBK"/>
              </w:rPr>
              <w:t>0.50</w:t>
            </w:r>
          </w:p>
        </w:tc>
        <w:tc>
          <w:tcPr>
            <w:tcW w:w="1110" w:type="dxa"/>
            <w:vAlign w:val="center"/>
          </w:tcPr>
          <w:p>
            <w:pPr>
              <w:spacing w:line="300" w:lineRule="exact"/>
              <w:jc w:val="right"/>
              <w:rPr>
                <w:rFonts w:ascii="方正书宋_GBK" w:eastAsia="方正书宋_GBK"/>
              </w:rPr>
            </w:pPr>
            <w:r>
              <w:rPr>
                <w:rFonts w:ascii="方正书宋_GBK" w:eastAsia="方正书宋_GBK"/>
              </w:rPr>
              <w:t>0.50</w:t>
            </w:r>
          </w:p>
        </w:tc>
        <w:tc>
          <w:tcPr>
            <w:tcW w:w="1255" w:type="dxa"/>
            <w:vAlign w:val="center"/>
          </w:tcPr>
          <w:p>
            <w:pPr>
              <w:spacing w:line="300" w:lineRule="exact"/>
              <w:jc w:val="right"/>
              <w:rPr>
                <w:rFonts w:ascii="方正书宋_GBK" w:eastAsia="方正书宋_GBK"/>
              </w:rPr>
            </w:pPr>
            <w:r>
              <w:rPr>
                <w:rFonts w:ascii="方正书宋_GBK" w:eastAsia="方正书宋_GBK"/>
              </w:rPr>
              <w:t>0.50</w:t>
            </w:r>
          </w:p>
        </w:tc>
        <w:tc>
          <w:tcPr>
            <w:tcW w:w="1103" w:type="dxa"/>
            <w:vAlign w:val="center"/>
          </w:tcPr>
          <w:p>
            <w:pPr>
              <w:spacing w:line="300" w:lineRule="exact"/>
              <w:jc w:val="right"/>
              <w:rPr>
                <w:rFonts w:ascii="方正书宋_GBK" w:eastAsia="方正书宋_GBK"/>
              </w:rPr>
            </w:pPr>
          </w:p>
        </w:tc>
        <w:tc>
          <w:tcPr>
            <w:tcW w:w="1103" w:type="dxa"/>
            <w:vAlign w:val="center"/>
          </w:tcPr>
          <w:p>
            <w:pPr>
              <w:spacing w:line="300" w:lineRule="exact"/>
              <w:jc w:val="right"/>
              <w:rPr>
                <w:rFonts w:ascii="方正书宋_GBK" w:eastAsia="方正书宋_GBK"/>
              </w:rPr>
            </w:pPr>
          </w:p>
        </w:tc>
        <w:tc>
          <w:tcPr>
            <w:tcW w:w="1103" w:type="dxa"/>
            <w:vAlign w:val="center"/>
          </w:tcPr>
          <w:p>
            <w:pPr>
              <w:spacing w:line="300" w:lineRule="exact"/>
              <w:jc w:val="right"/>
              <w:rPr>
                <w:rFonts w:ascii="方正书宋_GBK" w:eastAsia="方正书宋_GBK"/>
              </w:rPr>
            </w:pPr>
          </w:p>
        </w:tc>
        <w:tc>
          <w:tcPr>
            <w:tcW w:w="1110" w:type="dxa"/>
            <w:vAlign w:val="center"/>
          </w:tcPr>
          <w:p>
            <w:pPr>
              <w:spacing w:line="300" w:lineRule="exact"/>
              <w:jc w:val="right"/>
              <w:rPr>
                <w:rFonts w:ascii="方正书宋_GBK" w:eastAsia="方正书宋_GBK"/>
              </w:rPr>
            </w:pPr>
          </w:p>
        </w:tc>
      </w:tr>
    </w:tbl>
    <w:p>
      <w:pPr>
        <w:jc w:val="center"/>
        <w:rPr>
          <w:rFonts w:hint="eastAsia" w:hAnsi="宋体"/>
          <w:sz w:val="36"/>
        </w:rPr>
      </w:pPr>
      <w:r>
        <w:rPr>
          <w:rFonts w:hint="eastAsia" w:ascii="方正小标宋_GBK" w:eastAsia="方正小标宋_GBK"/>
          <w:sz w:val="36"/>
          <w:lang w:eastAsia="zh-CN"/>
        </w:rPr>
        <w:t>单位</w:t>
      </w:r>
      <w:r>
        <w:rPr>
          <w:rFonts w:hint="eastAsia" w:ascii="方正小标宋_GBK" w:eastAsia="方正小标宋_GBK"/>
          <w:sz w:val="36"/>
        </w:rPr>
        <w:t>政府采购预算</w:t>
      </w:r>
    </w:p>
    <w:p>
      <w:pPr>
        <w:spacing w:line="300" w:lineRule="exact"/>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outlineLvl w:val="2"/>
        <w:rPr>
          <w:rFonts w:hint="eastAsia" w:hAnsi="宋体"/>
          <w:sz w:val="32"/>
        </w:rPr>
      </w:pPr>
      <w:bookmarkStart w:id="6" w:name="_Toc67581833"/>
      <w:r>
        <w:rPr>
          <w:rFonts w:hint="eastAsia" w:ascii="黑体" w:hAnsi="黑体" w:eastAsia="黑体"/>
          <w:sz w:val="32"/>
        </w:rPr>
        <w:t>七、国有资产信息</w:t>
      </w:r>
      <w:bookmarkEnd w:id="6"/>
    </w:p>
    <w:p>
      <w:pPr>
        <w:spacing w:line="500" w:lineRule="exact"/>
        <w:ind w:firstLine="560" w:firstLineChars="200"/>
        <w:jc w:val="left"/>
        <w:rPr>
          <w:rFonts w:hint="eastAsia" w:hAnsi="宋体"/>
          <w:sz w:val="28"/>
        </w:rPr>
      </w:pPr>
      <w:r>
        <w:rPr>
          <w:rFonts w:hint="eastAsia" w:eastAsia="方正仿宋_GBK"/>
          <w:sz w:val="28"/>
        </w:rPr>
        <w:t>中共石家庄市长安区委统战部（含所属单位）上年末固定资产金额为</w:t>
      </w:r>
      <w:r>
        <w:rPr>
          <w:rFonts w:hint="eastAsia" w:eastAsia="方正仿宋_GBK"/>
          <w:sz w:val="28"/>
          <w:lang w:val="en-US" w:eastAsia="zh-CN"/>
        </w:rPr>
        <w:t>43.66</w:t>
      </w:r>
      <w:r>
        <w:rPr>
          <w:rFonts w:hint="eastAsia" w:eastAsia="方正仿宋_GBK"/>
          <w:sz w:val="28"/>
        </w:rPr>
        <w:t>万元（详见下表）。本年度拟购置固定资产总额为0</w:t>
      </w:r>
      <w:r>
        <w:rPr>
          <w:rFonts w:hint="eastAsia" w:eastAsia="方正仿宋_GBK"/>
          <w:sz w:val="28"/>
          <w:lang w:val="en-US" w:eastAsia="zh-CN"/>
        </w:rPr>
        <w:t>.5</w:t>
      </w:r>
      <w:r>
        <w:rPr>
          <w:rFonts w:hint="eastAsia" w:eastAsia="方正仿宋_GBK"/>
          <w:sz w:val="28"/>
        </w:rPr>
        <w:t>万元，已按要求列入政府采购预算，详见政府采购预算表。</w:t>
      </w:r>
    </w:p>
    <w:p>
      <w:pPr>
        <w:jc w:val="center"/>
        <w:rPr>
          <w:rFonts w:hint="eastAsia" w:hAnsi="宋体"/>
          <w:sz w:val="36"/>
        </w:rPr>
      </w:pPr>
      <w:r>
        <w:rPr>
          <w:rFonts w:hint="eastAsia" w:ascii="方正小标宋_GBK" w:eastAsia="方正小标宋_GBK"/>
          <w:sz w:val="36"/>
          <w:lang w:eastAsia="zh-CN"/>
        </w:rPr>
        <w:t>单位</w:t>
      </w:r>
      <w:r>
        <w:rPr>
          <w:rFonts w:hint="eastAsia" w:ascii="方正小标宋_GBK" w:eastAsia="方正小标宋_GBK"/>
          <w:sz w:val="36"/>
        </w:rPr>
        <w:t>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lang w:eastAsia="zh-CN"/>
              </w:rPr>
              <w:t>213001中共石家庄市长安区委统战部本级</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资产总额</w:t>
            </w:r>
          </w:p>
        </w:tc>
        <w:tc>
          <w:tcPr>
            <w:tcW w:w="283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w:t>
            </w:r>
          </w:p>
        </w:tc>
        <w:tc>
          <w:tcPr>
            <w:tcW w:w="2835" w:type="dxa"/>
            <w:vAlign w:val="center"/>
          </w:tcPr>
          <w:p>
            <w:pPr>
              <w:spacing w:line="300" w:lineRule="exact"/>
              <w:ind w:left="0" w:leftChars="0" w:right="0" w:rightChars="0" w:firstLine="0" w:firstLineChars="0"/>
              <w:jc w:val="center"/>
              <w:rPr>
                <w:rFonts w:hint="eastAsia" w:ascii="方正书宋_GBK" w:eastAsia="方正书宋_GBK"/>
                <w:lang w:val="en-US" w:eastAsia="zh-CN"/>
              </w:rPr>
            </w:pPr>
            <w:r>
              <w:rPr>
                <w:rFonts w:hint="eastAsia" w:ascii="方正书宋_GBK" w:eastAsia="方正书宋_GBK"/>
                <w:lang w:val="en-US" w:eastAsia="zh-CN"/>
              </w:rPr>
              <w:t>43.66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1、房屋（平方米）</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其中：办公用房（平方米）</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2、车辆（台、辆）</w:t>
            </w:r>
          </w:p>
        </w:tc>
        <w:tc>
          <w:tcPr>
            <w:tcW w:w="283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w:t>
            </w:r>
          </w:p>
        </w:tc>
        <w:tc>
          <w:tcPr>
            <w:tcW w:w="2835" w:type="dxa"/>
            <w:vAlign w:val="center"/>
          </w:tcPr>
          <w:p>
            <w:pPr>
              <w:spacing w:line="300" w:lineRule="exact"/>
              <w:ind w:left="0" w:leftChars="0" w:right="0" w:rightChars="0" w:firstLine="0" w:firstLineChars="0"/>
              <w:jc w:val="center"/>
              <w:rPr>
                <w:rFonts w:hint="eastAsia" w:ascii="方正书宋_GBK" w:eastAsia="方正书宋_GBK"/>
                <w:lang w:val="en-US" w:eastAsia="zh-CN"/>
              </w:rPr>
            </w:pPr>
            <w:r>
              <w:rPr>
                <w:rFonts w:hint="eastAsia" w:ascii="方正书宋_GBK" w:eastAsia="方正书宋_GBK"/>
                <w:lang w:val="en-US" w:eastAsia="zh-CN"/>
              </w:rPr>
              <w:t>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3、单价在20万元以上的设备</w:t>
            </w:r>
          </w:p>
        </w:tc>
        <w:tc>
          <w:tcPr>
            <w:tcW w:w="283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w:t>
            </w:r>
          </w:p>
        </w:tc>
        <w:tc>
          <w:tcPr>
            <w:tcW w:w="28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4、其他固定资产</w:t>
            </w:r>
          </w:p>
        </w:tc>
        <w:tc>
          <w:tcPr>
            <w:tcW w:w="2835"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w:t>
            </w:r>
          </w:p>
        </w:tc>
        <w:tc>
          <w:tcPr>
            <w:tcW w:w="2835" w:type="dxa"/>
            <w:vAlign w:val="center"/>
          </w:tcPr>
          <w:p>
            <w:pPr>
              <w:spacing w:line="300" w:lineRule="exact"/>
              <w:ind w:left="0" w:leftChars="0" w:right="0" w:rightChars="0" w:firstLine="0" w:firstLineChars="0"/>
              <w:jc w:val="center"/>
              <w:rPr>
                <w:rFonts w:hint="eastAsia" w:ascii="方正书宋_GBK" w:eastAsia="方正书宋_GBK"/>
                <w:lang w:val="en-US" w:eastAsia="zh-CN"/>
              </w:rPr>
            </w:pPr>
            <w:r>
              <w:rPr>
                <w:rFonts w:hint="eastAsia" w:ascii="方正书宋_GBK" w:eastAsia="方正书宋_GBK"/>
                <w:lang w:val="en-US" w:eastAsia="zh-CN"/>
              </w:rPr>
              <w:t>26.66</w:t>
            </w:r>
          </w:p>
        </w:tc>
      </w:tr>
    </w:tbl>
    <w:p>
      <w:pPr>
        <w:ind w:firstLine="420" w:firstLineChars="200"/>
        <w:jc w:val="left"/>
        <w:rPr>
          <w:rFonts w:hint="eastAsia" w:hAnsi="宋体"/>
        </w:rPr>
      </w:pPr>
      <w:r>
        <w:rPr>
          <w:rFonts w:hint="eastAsia" w:ascii="方正书宋_GBK" w:eastAsia="方正书宋_GBK"/>
        </w:rPr>
        <w:t>注：无固定资产占用情况，空表列示。</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outlineLvl w:val="2"/>
        <w:rPr>
          <w:rFonts w:hint="eastAsia" w:hAnsi="宋体"/>
          <w:sz w:val="32"/>
        </w:rPr>
      </w:pPr>
      <w:bookmarkStart w:id="7" w:name="_Toc67581834"/>
      <w:r>
        <w:rPr>
          <w:rFonts w:hint="eastAsia" w:ascii="黑体" w:hAnsi="黑体" w:eastAsia="黑体"/>
          <w:sz w:val="32"/>
        </w:rPr>
        <w:t>八、名词解释</w:t>
      </w:r>
      <w:bookmarkEnd w:id="7"/>
    </w:p>
    <w:p>
      <w:pPr>
        <w:spacing w:line="500" w:lineRule="exact"/>
        <w:ind w:firstLine="560" w:firstLineChars="200"/>
        <w:jc w:val="left"/>
        <w:rPr>
          <w:rFonts w:hint="eastAsia"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指省级财政当年拨付的资金。</w:t>
      </w:r>
    </w:p>
    <w:p>
      <w:pPr>
        <w:spacing w:line="500" w:lineRule="exact"/>
        <w:ind w:firstLine="560" w:firstLineChars="200"/>
        <w:jc w:val="left"/>
        <w:rPr>
          <w:rFonts w:hint="eastAsia"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int="eastAsia"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int="eastAsia"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int="eastAsia"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int="eastAsia"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int="eastAsia"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纳入省级财政预算管理的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经费，是指省级</w:t>
      </w:r>
      <w:r>
        <w:rPr>
          <w:rFonts w:hint="eastAsia" w:eastAsia="方正仿宋_GBK"/>
          <w:sz w:val="28"/>
          <w:lang w:eastAsia="zh-CN"/>
        </w:rPr>
        <w:t>单位</w:t>
      </w:r>
      <w:r>
        <w:rPr>
          <w:rFonts w:hint="eastAsia" w:eastAsia="方正仿宋_GBK"/>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w:t>
      </w:r>
      <w:r>
        <w:rPr>
          <w:rFonts w:hint="eastAsia" w:eastAsia="方正仿宋_GBK"/>
          <w:sz w:val="28"/>
          <w:lang w:eastAsia="zh-CN"/>
        </w:rPr>
        <w:t>单位</w:t>
      </w:r>
      <w:r>
        <w:rPr>
          <w:rFonts w:hint="eastAsia" w:eastAsia="方正仿宋_GBK"/>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int="eastAsia"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int="eastAsia" w:hAnsi="宋体"/>
          <w:sz w:val="32"/>
        </w:rPr>
      </w:pPr>
      <w:bookmarkStart w:id="8" w:name="_Toc67581835"/>
      <w:r>
        <w:rPr>
          <w:rFonts w:hint="eastAsia" w:ascii="黑体" w:hAnsi="黑体" w:eastAsia="黑体"/>
          <w:sz w:val="32"/>
        </w:rPr>
        <w:t>九、其他需要说明的事项</w:t>
      </w:r>
      <w:bookmarkEnd w:id="8"/>
    </w:p>
    <w:p>
      <w:pPr>
        <w:spacing w:line="500" w:lineRule="exact"/>
        <w:ind w:firstLine="560" w:firstLineChars="200"/>
        <w:jc w:val="left"/>
        <w:rPr>
          <w:rFonts w:hint="eastAsia" w:eastAsia="方正仿宋_GBK"/>
          <w:lang w:eastAsia="zh-CN"/>
        </w:rPr>
        <w:sectPr>
          <w:pgSz w:w="16839" w:h="11907" w:orient="landscape"/>
          <w:pgMar w:top="1361" w:right="1020" w:bottom="1361" w:left="1020" w:header="851" w:footer="992" w:gutter="0"/>
          <w:cols w:space="720" w:num="1"/>
          <w:docGrid w:type="lines" w:linePitch="312" w:charSpace="0"/>
        </w:sectPr>
      </w:pPr>
      <w:r>
        <w:rPr>
          <w:rFonts w:hint="eastAsia" w:eastAsia="方正仿宋_GBK"/>
          <w:sz w:val="28"/>
        </w:rPr>
        <w:t>我</w:t>
      </w:r>
      <w:r>
        <w:rPr>
          <w:rFonts w:hint="eastAsia" w:eastAsia="方正仿宋_GBK"/>
          <w:sz w:val="28"/>
          <w:lang w:eastAsia="zh-CN"/>
        </w:rPr>
        <w:t>单位</w:t>
      </w:r>
      <w:r>
        <w:rPr>
          <w:rFonts w:hint="eastAsia" w:eastAsia="方正仿宋_GBK"/>
          <w:sz w:val="28"/>
        </w:rPr>
        <w:t>无其他需要说明的事项</w:t>
      </w:r>
      <w:r>
        <w:rPr>
          <w:rFonts w:hint="eastAsia" w:eastAsia="方正仿宋_GBK"/>
          <w:sz w:val="28"/>
          <w:lang w:eastAsia="zh-CN"/>
        </w:rPr>
        <w:t>。</w:t>
      </w:r>
    </w:p>
    <w:p>
      <w:pPr>
        <w:bidi w:val="0"/>
        <w:jc w:val="both"/>
        <w:rPr>
          <w:rFonts w:hint="eastAsia"/>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roman"/>
    <w:pitch w:val="default"/>
    <w:sig w:usb0="A00002BF" w:usb1="38CF7CFA" w:usb2="00082016" w:usb3="00000000" w:csb0="00040001" w:csb1="00000000"/>
  </w:font>
  <w:font w:name="SimSun-Identity-H">
    <w:altName w:val="宋体"/>
    <w:panose1 w:val="00000000000000000000"/>
    <w:charset w:val="86"/>
    <w:family w:val="auto"/>
    <w:pitch w:val="default"/>
    <w:sig w:usb0="00000000" w:usb1="0000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wMTcxMTU2MDMzNmYyMzQ0ZWU0YWEwNDg4ZWM5NGMifQ=="/>
  </w:docVars>
  <w:rsids>
    <w:rsidRoot w:val="00000000"/>
    <w:rsid w:val="017C4F55"/>
    <w:rsid w:val="01BE10DC"/>
    <w:rsid w:val="030C1CE2"/>
    <w:rsid w:val="07305249"/>
    <w:rsid w:val="0B324F02"/>
    <w:rsid w:val="109C1847"/>
    <w:rsid w:val="13D322D5"/>
    <w:rsid w:val="18DE1037"/>
    <w:rsid w:val="192F55CD"/>
    <w:rsid w:val="1DDD1CFE"/>
    <w:rsid w:val="1E4E6860"/>
    <w:rsid w:val="22541459"/>
    <w:rsid w:val="24C31223"/>
    <w:rsid w:val="26500E2A"/>
    <w:rsid w:val="279D5DA0"/>
    <w:rsid w:val="29C94C93"/>
    <w:rsid w:val="2CF219A5"/>
    <w:rsid w:val="2E822B58"/>
    <w:rsid w:val="30113672"/>
    <w:rsid w:val="337A1824"/>
    <w:rsid w:val="37F80F0A"/>
    <w:rsid w:val="383E2A08"/>
    <w:rsid w:val="385B6943"/>
    <w:rsid w:val="3D3F1BF7"/>
    <w:rsid w:val="40473E15"/>
    <w:rsid w:val="405D25C3"/>
    <w:rsid w:val="4E7D7811"/>
    <w:rsid w:val="52DD00DB"/>
    <w:rsid w:val="572E7E42"/>
    <w:rsid w:val="5DDC5A6B"/>
    <w:rsid w:val="61122574"/>
    <w:rsid w:val="62913FAD"/>
    <w:rsid w:val="6AF37BAB"/>
    <w:rsid w:val="6C68570B"/>
    <w:rsid w:val="6E442967"/>
    <w:rsid w:val="6F5C18FA"/>
    <w:rsid w:val="738A4570"/>
    <w:rsid w:val="74F76779"/>
    <w:rsid w:val="77C741E5"/>
    <w:rsid w:val="7BD94EAD"/>
    <w:rsid w:val="7D77612B"/>
    <w:rsid w:val="7DAC47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qFormat/>
    <w:uiPriority w:val="0"/>
    <w:pPr>
      <w:ind w:firstLine="200" w:firstLineChars="200"/>
    </w:pPr>
    <w:rPr>
      <w:rFonts w:ascii="Times New Roman" w:hAnsi="Times New Roman" w:eastAsia="宋体" w:cs="Times New Roma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99"/>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2020-11-06T00:58:00Z</dcterms:created>
  <dc:creator>dell</dc:creator>
  <cp:lastModifiedBy>Administrator</cp:lastModifiedBy>
  <cp:lastPrinted>2021-01-04T03:16:00Z</cp:lastPrinted>
  <dcterms:modified xsi:type="dcterms:W3CDTF">2024-05-15T08:42:10Z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CFC148C6FB614ADD8CDF87C597150138</vt:lpwstr>
  </property>
</Properties>
</file>