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ind w:firstLine="880" w:firstLineChars="200"/>
        <w:jc w:val="center"/>
        <w:rPr>
          <w:rFonts w:hint="eastAsia" w:asciiTheme="minorEastAsia" w:hAnsiTheme="minorEastAsia" w:eastAsiaTheme="minorEastAsia" w:cstheme="minorEastAsia"/>
          <w:sz w:val="44"/>
          <w:szCs w:val="44"/>
        </w:rPr>
      </w:pPr>
      <w:r>
        <w:rPr>
          <w:rFonts w:hint="eastAsia" w:asciiTheme="minorEastAsia" w:hAnsiTheme="minorEastAsia" w:eastAsiaTheme="minorEastAsia" w:cstheme="minorEastAsia"/>
          <w:sz w:val="44"/>
          <w:szCs w:val="44"/>
          <w:lang w:eastAsia="zh-CN"/>
        </w:rPr>
        <w:t>石家庄市长安区档案馆</w:t>
      </w:r>
      <w:r>
        <w:rPr>
          <w:rFonts w:hint="eastAsia" w:asciiTheme="minorEastAsia" w:hAnsiTheme="minorEastAsia" w:eastAsiaTheme="minorEastAsia" w:cstheme="minorEastAsia"/>
          <w:sz w:val="44"/>
          <w:szCs w:val="44"/>
        </w:rPr>
        <w:t>2019年部门预算信息公开情况说明</w:t>
      </w:r>
    </w:p>
    <w:p>
      <w:pPr>
        <w:ind w:firstLine="880" w:firstLineChars="200"/>
        <w:jc w:val="center"/>
        <w:rPr>
          <w:rFonts w:hint="eastAsia" w:asciiTheme="minorEastAsia" w:hAnsiTheme="minorEastAsia" w:eastAsiaTheme="minorEastAsia" w:cstheme="minorEastAsia"/>
          <w:sz w:val="44"/>
          <w:szCs w:val="44"/>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按照《预算法》、《地方预决算公开操作规程》和《河北省省级预算公开办法》规定，现将</w:t>
      </w:r>
      <w:r>
        <w:rPr>
          <w:rFonts w:hint="eastAsia" w:ascii="仿宋" w:hAnsi="仿宋" w:eastAsia="仿宋" w:cs="仿宋"/>
          <w:sz w:val="32"/>
          <w:szCs w:val="32"/>
          <w:lang w:eastAsia="zh-CN"/>
        </w:rPr>
        <w:t>石家庄市长安区档案馆</w:t>
      </w:r>
      <w:r>
        <w:rPr>
          <w:rFonts w:hint="eastAsia" w:ascii="仿宋" w:hAnsi="仿宋" w:eastAsia="仿宋" w:cs="仿宋"/>
          <w:sz w:val="32"/>
          <w:szCs w:val="32"/>
        </w:rPr>
        <w:t>2019年部门预算公开如下：</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一、部门职责及机构设置情况</w:t>
      </w:r>
    </w:p>
    <w:p>
      <w:pPr>
        <w:ind w:firstLine="640" w:firstLineChars="200"/>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部门职责：</w:t>
      </w:r>
    </w:p>
    <w:p>
      <w:pPr>
        <w:pStyle w:val="18"/>
        <w:numPr>
          <w:ilvl w:val="0"/>
          <w:numId w:val="0"/>
        </w:num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left="640" w:leftChars="0"/>
        <w:rPr>
          <w:rFonts w:hint="eastAsia" w:ascii="仿宋_GB2312" w:hAnsi="仿宋_GB2312" w:eastAsia="仿宋_GB2312" w:cs="仿宋_GB2312"/>
          <w:sz w:val="32"/>
          <w:szCs w:val="32"/>
        </w:rPr>
      </w:pPr>
      <w:r>
        <w:rPr>
          <w:rFonts w:ascii="方正仿宋_GBK" w:eastAsia="方正仿宋_GBK"/>
          <w:sz w:val="28"/>
        </w:rPr>
        <w:t>（一）</w:t>
      </w:r>
      <w:r>
        <w:rPr>
          <w:rFonts w:hint="eastAsia" w:ascii="仿宋_GB2312" w:hAnsi="仿宋_GB2312" w:eastAsia="仿宋_GB2312" w:cs="仿宋_GB2312"/>
          <w:bCs/>
          <w:sz w:val="32"/>
          <w:szCs w:val="32"/>
        </w:rPr>
        <w:t>档案教育宣传培训</w:t>
      </w:r>
    </w:p>
    <w:p>
      <w:pPr>
        <w:spacing w:line="500" w:lineRule="exact"/>
        <w:ind w:firstLine="560"/>
        <w:rPr>
          <w:rFonts w:hint="eastAsia" w:ascii="方正仿宋_GBK" w:eastAsia="方正仿宋_GBK"/>
          <w:b/>
          <w:color w:val="0000FF"/>
          <w:sz w:val="28"/>
        </w:rPr>
      </w:pPr>
    </w:p>
    <w:p>
      <w:pPr>
        <w:spacing w:line="500" w:lineRule="exact"/>
        <w:ind w:firstLine="560"/>
        <w:rPr>
          <w:rFonts w:hint="eastAsia" w:ascii="方正仿宋_GBK" w:eastAsia="方正仿宋_GBK"/>
          <w:sz w:val="28"/>
        </w:rPr>
      </w:pP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560" w:firstLineChars="200"/>
        <w:rPr>
          <w:rFonts w:hint="eastAsia" w:ascii="仿宋_GB2312" w:hAnsi="仿宋_GB2312" w:eastAsia="仿宋_GB2312" w:cs="仿宋_GB2312"/>
          <w:sz w:val="32"/>
          <w:szCs w:val="32"/>
        </w:rPr>
      </w:pPr>
      <w:r>
        <w:rPr>
          <w:rFonts w:ascii="方正仿宋_GBK" w:eastAsia="方正仿宋_GBK"/>
          <w:sz w:val="28"/>
        </w:rPr>
        <w:t>（二）</w:t>
      </w:r>
      <w:r>
        <w:rPr>
          <w:rFonts w:hint="eastAsia" w:ascii="仿宋_GB2312" w:hAnsi="仿宋_GB2312" w:eastAsia="仿宋_GB2312" w:cs="仿宋_GB2312"/>
          <w:bCs/>
          <w:sz w:val="32"/>
          <w:szCs w:val="32"/>
        </w:rPr>
        <w:t>档案资料对外交流、征集和研究</w:t>
      </w:r>
    </w:p>
    <w:p>
      <w:pPr>
        <w:spacing w:line="500" w:lineRule="exact"/>
        <w:ind w:firstLine="560" w:firstLineChars="200"/>
        <w:rPr>
          <w:rFonts w:hint="eastAsia" w:ascii="方正仿宋_GBK" w:hAnsi="宋体" w:eastAsia="方正仿宋_GBK" w:cs="宋体"/>
          <w:sz w:val="28"/>
        </w:rPr>
      </w:pPr>
    </w:p>
    <w:p>
      <w:pPr>
        <w:spacing w:line="500" w:lineRule="exact"/>
        <w:ind w:firstLine="560"/>
        <w:rPr>
          <w:rFonts w:hint="eastAsia" w:ascii="方正仿宋_GBK" w:hAnsi="宋体" w:eastAsia="方正仿宋_GBK" w:cs="宋体"/>
          <w:sz w:val="28"/>
        </w:rPr>
      </w:pPr>
    </w:p>
    <w:p>
      <w:pPr>
        <w:numPr>
          <w:ilvl w:val="0"/>
          <w:numId w:val="1"/>
        </w:numPr>
        <w:spacing w:line="500" w:lineRule="exact"/>
        <w:ind w:firstLine="640" w:firstLineChars="200"/>
        <w:rPr>
          <w:rFonts w:hint="eastAsia" w:ascii="仿宋_GB2312" w:hAnsi="仿宋_GB2312" w:eastAsia="仿宋_GB2312" w:cs="仿宋_GB2312"/>
          <w:bCs/>
          <w:sz w:val="32"/>
          <w:szCs w:val="32"/>
        </w:rPr>
      </w:pPr>
      <w:r>
        <w:rPr>
          <w:rFonts w:hint="eastAsia" w:ascii="仿宋_GB2312" w:hAnsi="仿宋_GB2312" w:eastAsia="仿宋_GB2312" w:cs="仿宋_GB2312"/>
          <w:bCs/>
          <w:sz w:val="32"/>
          <w:szCs w:val="32"/>
        </w:rPr>
        <w:t>接受区直机关档案；档案的抢救保护、保管和利用</w:t>
      </w:r>
      <w:r>
        <w:rPr>
          <w:rFonts w:hint="eastAsia" w:ascii="仿宋_GB2312" w:hAnsi="仿宋_GB2312" w:eastAsia="仿宋_GB2312" w:cs="仿宋_GB2312"/>
          <w:bCs/>
          <w:sz w:val="32"/>
          <w:szCs w:val="32"/>
          <w:lang w:val="en-US" w:eastAsia="zh-CN"/>
        </w:rPr>
        <w:t xml:space="preserve">  </w:t>
      </w:r>
    </w:p>
    <w:p>
      <w:pPr>
        <w:widowControl w:val="0"/>
        <w:numPr>
          <w:ilvl w:val="0"/>
          <w:numId w:val="0"/>
        </w:numPr>
        <w:spacing w:line="500" w:lineRule="exact"/>
        <w:jc w:val="both"/>
        <w:rPr>
          <w:rFonts w:hint="eastAsia" w:ascii="仿宋_GB2312" w:hAnsi="仿宋_GB2312" w:eastAsia="仿宋_GB2312" w:cs="仿宋_GB2312"/>
          <w:bCs/>
          <w:sz w:val="32"/>
          <w:szCs w:val="32"/>
          <w:lang w:val="en-US" w:eastAsia="zh-CN"/>
        </w:rPr>
      </w:pPr>
    </w:p>
    <w:p>
      <w:pPr>
        <w:widowControl w:val="0"/>
        <w:numPr>
          <w:ilvl w:val="0"/>
          <w:numId w:val="0"/>
        </w:numPr>
        <w:spacing w:line="500" w:lineRule="exact"/>
        <w:ind w:firstLine="640" w:firstLineChars="200"/>
        <w:jc w:val="both"/>
        <w:rPr>
          <w:rFonts w:hint="eastAsia" w:ascii="仿宋_GB2312" w:hAnsi="仿宋_GB2312" w:eastAsia="仿宋_GB2312" w:cs="仿宋_GB2312"/>
          <w:bCs/>
          <w:sz w:val="32"/>
          <w:szCs w:val="32"/>
          <w:lang w:val="en-US" w:eastAsia="zh-CN"/>
        </w:rPr>
      </w:pPr>
    </w:p>
    <w:p>
      <w:pPr>
        <w:widowControl w:val="0"/>
        <w:numPr>
          <w:ilvl w:val="0"/>
          <w:numId w:val="0"/>
        </w:numPr>
        <w:spacing w:line="500" w:lineRule="exact"/>
        <w:ind w:firstLine="640" w:firstLineChars="200"/>
        <w:jc w:val="both"/>
        <w:rPr>
          <w:rFonts w:hint="eastAsia" w:ascii="仿宋_GB2312" w:hAnsi="仿宋_GB2312" w:eastAsia="仿宋_GB2312" w:cs="仿宋_GB2312"/>
          <w:bCs/>
          <w:sz w:val="32"/>
          <w:szCs w:val="32"/>
          <w:lang w:val="en-US" w:eastAsia="zh-CN"/>
        </w:rPr>
      </w:pPr>
      <w:r>
        <w:rPr>
          <w:rFonts w:hint="eastAsia" w:ascii="仿宋_GB2312" w:hAnsi="仿宋_GB2312" w:eastAsia="仿宋_GB2312" w:cs="仿宋_GB2312"/>
          <w:bCs/>
          <w:sz w:val="32"/>
          <w:szCs w:val="32"/>
          <w:lang w:val="en-US" w:eastAsia="zh-CN"/>
        </w:rPr>
        <w:t>（四）</w:t>
      </w:r>
      <w:r>
        <w:rPr>
          <w:rFonts w:hint="eastAsia" w:ascii="仿宋_GB2312" w:hAnsi="仿宋_GB2312" w:eastAsia="仿宋_GB2312" w:cs="仿宋_GB2312"/>
          <w:bCs/>
          <w:sz w:val="32"/>
          <w:szCs w:val="32"/>
        </w:rPr>
        <w:t>区地方志编撰工作</w:t>
      </w:r>
    </w:p>
    <w:p>
      <w:pPr>
        <w:autoSpaceDE w:val="0"/>
        <w:autoSpaceDN w:val="0"/>
        <w:adjustRightInd w:val="0"/>
        <w:ind w:left="198" w:firstLine="640" w:firstLineChars="200"/>
        <w:jc w:val="left"/>
        <w:rPr>
          <w:rFonts w:ascii="方正仿宋_GBK" w:hAnsi="Times New Roman" w:eastAsia="方正仿宋_GBK" w:cs="Times New Roman"/>
          <w:b/>
          <w:sz w:val="32"/>
          <w:szCs w:val="32"/>
        </w:rPr>
      </w:pPr>
    </w:p>
    <w:p>
      <w:pPr>
        <w:autoSpaceDE w:val="0"/>
        <w:autoSpaceDN w:val="0"/>
        <w:adjustRightInd w:val="0"/>
        <w:ind w:left="198" w:firstLine="640" w:firstLineChars="200"/>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机构设置：</w:t>
      </w:r>
    </w:p>
    <w:p>
      <w:pPr>
        <w:jc w:val="center"/>
        <w:outlineLvl w:val="0"/>
        <w:rPr>
          <w:rFonts w:hint="eastAsia" w:ascii="仿宋_GB2312" w:hAnsi="仿宋_GB2312" w:eastAsia="仿宋_GB2312" w:cs="仿宋_GB2312"/>
          <w:sz w:val="32"/>
          <w:szCs w:val="24"/>
        </w:rPr>
      </w:pPr>
      <w:r>
        <w:rPr>
          <w:rFonts w:hint="eastAsia" w:ascii="仿宋_GB2312" w:hAnsi="仿宋_GB2312" w:eastAsia="仿宋_GB2312" w:cs="仿宋_GB2312"/>
          <w:sz w:val="32"/>
          <w:szCs w:val="24"/>
        </w:rPr>
        <w:t>部门机构设置情况</w:t>
      </w:r>
    </w:p>
    <w:p>
      <w:pPr>
        <w:rPr>
          <w:rFonts w:hint="eastAsia"/>
        </w:rPr>
      </w:pPr>
    </w:p>
    <w:tbl>
      <w:tblPr>
        <w:tblStyle w:val="12"/>
        <w:tblW w:w="9729" w:type="dxa"/>
        <w:jc w:val="center"/>
        <w:tblInd w:w="-59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b w:val="0"/>
                <w:bCs/>
                <w:szCs w:val="24"/>
              </w:rPr>
            </w:pPr>
            <w:r>
              <w:rPr>
                <w:rFonts w:ascii="Times New Roman" w:hAnsi="Times New Roman" w:eastAsia="方正书宋_GBK"/>
                <w:b w:val="0"/>
                <w:bCs/>
                <w:szCs w:val="24"/>
              </w:rPr>
              <w:t>单位名称</w:t>
            </w:r>
          </w:p>
        </w:tc>
        <w:tc>
          <w:tcPr>
            <w:tcW w:w="1134" w:type="dxa"/>
            <w:vMerge w:val="restart"/>
            <w:vAlign w:val="center"/>
          </w:tcPr>
          <w:p>
            <w:pPr>
              <w:spacing w:line="300" w:lineRule="exact"/>
              <w:jc w:val="center"/>
              <w:rPr>
                <w:rFonts w:ascii="Times New Roman" w:hAnsi="Times New Roman" w:eastAsia="方正书宋_GBK"/>
                <w:b w:val="0"/>
                <w:bCs/>
                <w:szCs w:val="24"/>
              </w:rPr>
            </w:pPr>
            <w:r>
              <w:rPr>
                <w:rFonts w:ascii="Times New Roman" w:hAnsi="Times New Roman" w:eastAsia="方正书宋_GBK"/>
                <w:b w:val="0"/>
                <w:bCs/>
                <w:szCs w:val="24"/>
              </w:rPr>
              <w:t>单位性质</w:t>
            </w:r>
          </w:p>
        </w:tc>
        <w:tc>
          <w:tcPr>
            <w:tcW w:w="1276" w:type="dxa"/>
            <w:vMerge w:val="restart"/>
            <w:vAlign w:val="center"/>
          </w:tcPr>
          <w:p>
            <w:pPr>
              <w:spacing w:line="300" w:lineRule="exact"/>
              <w:jc w:val="center"/>
              <w:rPr>
                <w:rFonts w:ascii="Times New Roman" w:hAnsi="Times New Roman" w:eastAsia="方正书宋_GBK"/>
                <w:b w:val="0"/>
                <w:bCs/>
                <w:szCs w:val="24"/>
              </w:rPr>
            </w:pPr>
            <w:r>
              <w:rPr>
                <w:rFonts w:ascii="Times New Roman" w:hAnsi="Times New Roman" w:eastAsia="方正书宋_GBK"/>
                <w:b w:val="0"/>
                <w:bCs/>
                <w:szCs w:val="24"/>
              </w:rPr>
              <w:t>单位规格</w:t>
            </w:r>
          </w:p>
        </w:tc>
        <w:tc>
          <w:tcPr>
            <w:tcW w:w="2902" w:type="dxa"/>
            <w:vMerge w:val="restart"/>
            <w:vAlign w:val="center"/>
          </w:tcPr>
          <w:p>
            <w:pPr>
              <w:spacing w:line="300" w:lineRule="exact"/>
              <w:jc w:val="center"/>
              <w:rPr>
                <w:rFonts w:ascii="Times New Roman" w:hAnsi="Times New Roman" w:eastAsia="方正书宋_GBK"/>
                <w:b w:val="0"/>
                <w:bCs/>
                <w:szCs w:val="24"/>
              </w:rPr>
            </w:pPr>
            <w:r>
              <w:rPr>
                <w:rFonts w:ascii="Times New Roman" w:hAnsi="Times New Roman" w:eastAsia="方正书宋_GBK"/>
                <w:b w:val="0"/>
                <w:bCs/>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b w:val="0"/>
                <w:bCs/>
                <w:szCs w:val="24"/>
              </w:rPr>
            </w:pPr>
          </w:p>
        </w:tc>
        <w:tc>
          <w:tcPr>
            <w:tcW w:w="1134" w:type="dxa"/>
            <w:vMerge w:val="continue"/>
            <w:vAlign w:val="center"/>
          </w:tcPr>
          <w:p>
            <w:pPr>
              <w:spacing w:line="300" w:lineRule="exact"/>
              <w:jc w:val="left"/>
              <w:outlineLvl w:val="0"/>
              <w:rPr>
                <w:rFonts w:ascii="Times New Roman" w:hAnsi="Times New Roman"/>
                <w:b w:val="0"/>
                <w:bCs/>
                <w:szCs w:val="24"/>
              </w:rPr>
            </w:pPr>
          </w:p>
        </w:tc>
        <w:tc>
          <w:tcPr>
            <w:tcW w:w="1276" w:type="dxa"/>
            <w:vMerge w:val="continue"/>
            <w:vAlign w:val="center"/>
          </w:tcPr>
          <w:p>
            <w:pPr>
              <w:spacing w:line="300" w:lineRule="exact"/>
              <w:jc w:val="left"/>
              <w:outlineLvl w:val="0"/>
              <w:rPr>
                <w:rFonts w:ascii="Times New Roman" w:hAnsi="Times New Roman"/>
                <w:b w:val="0"/>
                <w:bCs/>
                <w:szCs w:val="24"/>
              </w:rPr>
            </w:pPr>
          </w:p>
        </w:tc>
        <w:tc>
          <w:tcPr>
            <w:tcW w:w="2902" w:type="dxa"/>
            <w:vMerge w:val="continue"/>
            <w:vAlign w:val="center"/>
          </w:tcPr>
          <w:p>
            <w:pPr>
              <w:spacing w:line="300" w:lineRule="exact"/>
              <w:jc w:val="left"/>
              <w:outlineLvl w:val="0"/>
              <w:rPr>
                <w:rFonts w:ascii="Times New Roman" w:hAnsi="Times New Roman"/>
                <w:b w:val="0"/>
                <w:bCs/>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hint="eastAsia" w:ascii="仿宋" w:hAnsi="仿宋" w:eastAsia="仿宋"/>
                <w:b w:val="0"/>
                <w:bCs/>
                <w:szCs w:val="24"/>
                <w:lang w:eastAsia="zh-CN"/>
              </w:rPr>
            </w:pPr>
            <w:r>
              <w:rPr>
                <w:rFonts w:hint="eastAsia" w:ascii="仿宋" w:hAnsi="仿宋" w:eastAsia="仿宋"/>
                <w:b w:val="0"/>
                <w:bCs/>
                <w:szCs w:val="24"/>
                <w:lang w:eastAsia="zh-CN"/>
              </w:rPr>
              <w:t>长安区档案馆</w:t>
            </w:r>
          </w:p>
        </w:tc>
        <w:tc>
          <w:tcPr>
            <w:tcW w:w="1134" w:type="dxa"/>
            <w:vAlign w:val="center"/>
          </w:tcPr>
          <w:p>
            <w:pPr>
              <w:spacing w:line="300" w:lineRule="exact"/>
              <w:jc w:val="left"/>
              <w:rPr>
                <w:rFonts w:hint="eastAsia" w:ascii="仿宋" w:hAnsi="仿宋" w:eastAsia="仿宋"/>
                <w:b w:val="0"/>
                <w:bCs/>
                <w:szCs w:val="24"/>
                <w:lang w:eastAsia="zh-CN"/>
              </w:rPr>
            </w:pPr>
            <w:r>
              <w:rPr>
                <w:rFonts w:hint="eastAsia" w:ascii="仿宋" w:hAnsi="仿宋" w:eastAsia="仿宋"/>
                <w:b w:val="0"/>
                <w:bCs/>
                <w:szCs w:val="24"/>
                <w:lang w:eastAsia="zh-CN"/>
              </w:rPr>
              <w:t>事业</w:t>
            </w:r>
          </w:p>
        </w:tc>
        <w:tc>
          <w:tcPr>
            <w:tcW w:w="1276" w:type="dxa"/>
            <w:vAlign w:val="center"/>
          </w:tcPr>
          <w:p>
            <w:pPr>
              <w:spacing w:line="300" w:lineRule="exact"/>
              <w:jc w:val="left"/>
              <w:rPr>
                <w:rFonts w:hint="eastAsia" w:ascii="仿宋" w:hAnsi="仿宋" w:eastAsia="仿宋"/>
                <w:b w:val="0"/>
                <w:bCs/>
                <w:szCs w:val="24"/>
                <w:lang w:eastAsia="zh-CN"/>
              </w:rPr>
            </w:pPr>
            <w:r>
              <w:rPr>
                <w:rFonts w:hint="eastAsia" w:ascii="仿宋" w:hAnsi="仿宋" w:eastAsia="仿宋"/>
                <w:b w:val="0"/>
                <w:bCs/>
                <w:szCs w:val="24"/>
                <w:lang w:eastAsia="zh-CN"/>
              </w:rPr>
              <w:t>正科</w:t>
            </w:r>
          </w:p>
        </w:tc>
        <w:tc>
          <w:tcPr>
            <w:tcW w:w="2902" w:type="dxa"/>
            <w:vAlign w:val="center"/>
          </w:tcPr>
          <w:p>
            <w:pPr>
              <w:spacing w:line="300" w:lineRule="exact"/>
              <w:jc w:val="left"/>
              <w:rPr>
                <w:rFonts w:ascii="仿宋" w:hAnsi="仿宋" w:eastAsia="仿宋"/>
                <w:b w:val="0"/>
                <w:bCs/>
                <w:szCs w:val="24"/>
              </w:rPr>
            </w:pPr>
            <w:r>
              <w:rPr>
                <w:rFonts w:hint="eastAsia" w:ascii="仿宋" w:hAnsi="仿宋" w:eastAsia="仿宋"/>
                <w:b w:val="0"/>
                <w:bCs/>
                <w:szCs w:val="24"/>
              </w:rPr>
              <w:t>财政性资金基本保证</w:t>
            </w:r>
          </w:p>
        </w:tc>
      </w:tr>
    </w:tbl>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二、部门预算安排的总体情况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按照预算管理有关规定，目前我</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部门预算的编制实行综合预算管理，即全部收入和支出都反映在预算中。</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1、收入说明</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反映本部门当年全部收入。2019年预算收入</w:t>
      </w:r>
      <w:r>
        <w:rPr>
          <w:rFonts w:hint="eastAsia" w:ascii="仿宋_GB2312" w:hAnsi="仿宋_GB2312" w:eastAsia="仿宋_GB2312" w:cs="仿宋_GB2312"/>
          <w:sz w:val="32"/>
          <w:szCs w:val="32"/>
          <w:lang w:val="en-US" w:eastAsia="zh-CN"/>
        </w:rPr>
        <w:t>306.52</w:t>
      </w:r>
      <w:r>
        <w:rPr>
          <w:rFonts w:hint="eastAsia" w:ascii="仿宋_GB2312" w:hAnsi="仿宋_GB2312" w:eastAsia="仿宋_GB2312" w:cs="仿宋_GB2312"/>
          <w:sz w:val="32"/>
          <w:szCs w:val="32"/>
        </w:rPr>
        <w:t>万元，其中：一般公共预算收入</w:t>
      </w:r>
      <w:r>
        <w:rPr>
          <w:rFonts w:hint="eastAsia" w:ascii="仿宋_GB2312" w:hAnsi="仿宋_GB2312" w:eastAsia="仿宋_GB2312" w:cs="仿宋_GB2312"/>
          <w:sz w:val="32"/>
          <w:szCs w:val="32"/>
          <w:lang w:val="en-US" w:eastAsia="zh-CN"/>
        </w:rPr>
        <w:t>306.52</w:t>
      </w:r>
      <w:r>
        <w:rPr>
          <w:rFonts w:hint="eastAsia" w:ascii="仿宋_GB2312" w:hAnsi="仿宋_GB2312" w:eastAsia="仿宋_GB2312" w:cs="仿宋_GB2312"/>
          <w:sz w:val="32"/>
          <w:szCs w:val="32"/>
        </w:rPr>
        <w:t>万元，基金预算收入0万元，财政专户核拨收入0万元，其他来源收入</w:t>
      </w:r>
      <w:r>
        <w:rPr>
          <w:rFonts w:hint="eastAsia" w:ascii="仿宋_GB2312" w:hAnsi="仿宋_GB2312" w:eastAsia="仿宋_GB2312" w:cs="仿宋_GB2312"/>
          <w:sz w:val="32"/>
          <w:szCs w:val="32"/>
          <w:lang w:val="en-US" w:eastAsia="zh-CN"/>
        </w:rPr>
        <w:t>0</w:t>
      </w:r>
      <w:r>
        <w:rPr>
          <w:rFonts w:hint="eastAsia" w:ascii="仿宋_GB2312" w:hAnsi="仿宋_GB2312" w:eastAsia="仿宋_GB2312" w:cs="仿宋_GB2312"/>
          <w:sz w:val="32"/>
          <w:szCs w:val="32"/>
        </w:rPr>
        <w:t>万元。</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2、支出说明</w:t>
      </w:r>
    </w:p>
    <w:p>
      <w:pPr>
        <w:adjustRightInd w:val="0"/>
        <w:snapToGrid w:val="0"/>
        <w:spacing w:line="600" w:lineRule="exact"/>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w:t>
      </w:r>
      <w:r>
        <w:rPr>
          <w:rFonts w:hint="eastAsia" w:ascii="仿宋_GB2312" w:hAnsi="仿宋_GB2312" w:eastAsia="仿宋_GB2312" w:cs="仿宋_GB2312"/>
          <w:sz w:val="32"/>
          <w:szCs w:val="32"/>
          <w:lang w:eastAsia="zh-CN"/>
        </w:rPr>
        <w:t>石家庄市长安区档案馆</w:t>
      </w:r>
      <w:r>
        <w:rPr>
          <w:rFonts w:hint="eastAsia" w:ascii="仿宋_GB2312" w:hAnsi="仿宋_GB2312" w:eastAsia="仿宋_GB2312" w:cs="仿宋_GB2312"/>
          <w:sz w:val="32"/>
          <w:szCs w:val="32"/>
        </w:rPr>
        <w:t>年度部门预算中支出预算的总体情况。</w:t>
      </w:r>
      <w:r>
        <w:rPr>
          <w:rFonts w:hint="eastAsia" w:ascii="仿宋_GB2312" w:hAnsi="仿宋_GB2312" w:eastAsia="仿宋_GB2312" w:cs="仿宋_GB2312"/>
          <w:bCs/>
          <w:sz w:val="32"/>
          <w:szCs w:val="32"/>
        </w:rPr>
        <w:t>201</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年预算支出</w:t>
      </w:r>
      <w:r>
        <w:rPr>
          <w:rFonts w:hint="eastAsia" w:ascii="仿宋_GB2312" w:hAnsi="仿宋_GB2312" w:eastAsia="仿宋_GB2312" w:cs="仿宋_GB2312"/>
          <w:bCs/>
          <w:sz w:val="32"/>
          <w:szCs w:val="32"/>
          <w:lang w:val="en-US" w:eastAsia="zh-CN"/>
        </w:rPr>
        <w:t>306.52</w:t>
      </w:r>
      <w:r>
        <w:rPr>
          <w:rFonts w:hint="eastAsia" w:ascii="仿宋_GB2312" w:hAnsi="仿宋_GB2312" w:eastAsia="仿宋_GB2312" w:cs="仿宋_GB2312"/>
          <w:bCs/>
          <w:sz w:val="32"/>
          <w:szCs w:val="32"/>
        </w:rPr>
        <w:t>万元。其中，人员经费支出</w:t>
      </w:r>
      <w:r>
        <w:rPr>
          <w:rFonts w:hint="eastAsia" w:ascii="仿宋_GB2312" w:hAnsi="仿宋_GB2312" w:eastAsia="仿宋_GB2312" w:cs="仿宋_GB2312"/>
          <w:bCs/>
          <w:sz w:val="32"/>
          <w:szCs w:val="32"/>
          <w:lang w:val="en-US" w:eastAsia="zh-CN"/>
        </w:rPr>
        <w:t>242.74</w:t>
      </w:r>
      <w:r>
        <w:rPr>
          <w:rFonts w:hint="eastAsia" w:ascii="仿宋_GB2312" w:hAnsi="仿宋_GB2312" w:eastAsia="仿宋_GB2312" w:cs="仿宋_GB2312"/>
          <w:bCs/>
          <w:sz w:val="32"/>
          <w:szCs w:val="32"/>
        </w:rPr>
        <w:t>万元，正常公用经费</w:t>
      </w:r>
      <w:r>
        <w:rPr>
          <w:rFonts w:hint="eastAsia" w:ascii="仿宋_GB2312" w:hAnsi="仿宋_GB2312" w:eastAsia="仿宋_GB2312" w:cs="仿宋_GB2312"/>
          <w:bCs/>
          <w:sz w:val="32"/>
          <w:szCs w:val="32"/>
          <w:lang w:val="en-US" w:eastAsia="zh-CN"/>
        </w:rPr>
        <w:t>20.68</w:t>
      </w:r>
      <w:r>
        <w:rPr>
          <w:rFonts w:hint="eastAsia" w:ascii="仿宋_GB2312" w:hAnsi="仿宋_GB2312" w:eastAsia="仿宋_GB2312" w:cs="仿宋_GB2312"/>
          <w:bCs/>
          <w:sz w:val="32"/>
          <w:szCs w:val="32"/>
        </w:rPr>
        <w:t>万元，项目支出</w:t>
      </w:r>
      <w:r>
        <w:rPr>
          <w:rFonts w:hint="eastAsia" w:ascii="仿宋_GB2312" w:hAnsi="仿宋_GB2312" w:eastAsia="仿宋_GB2312" w:cs="仿宋_GB2312"/>
          <w:bCs/>
          <w:sz w:val="32"/>
          <w:szCs w:val="32"/>
          <w:lang w:val="en-US" w:eastAsia="zh-CN"/>
        </w:rPr>
        <w:t>43.1</w:t>
      </w:r>
      <w:r>
        <w:rPr>
          <w:rFonts w:hint="eastAsia" w:ascii="仿宋_GB2312" w:hAnsi="仿宋_GB2312" w:eastAsia="仿宋_GB2312" w:cs="仿宋_GB2312"/>
          <w:bCs/>
          <w:sz w:val="32"/>
          <w:szCs w:val="32"/>
        </w:rPr>
        <w:t>万元（其中本级项目支出</w:t>
      </w:r>
      <w:r>
        <w:rPr>
          <w:rFonts w:hint="eastAsia" w:ascii="仿宋_GB2312" w:hAnsi="仿宋_GB2312" w:eastAsia="仿宋_GB2312" w:cs="仿宋_GB2312"/>
          <w:bCs/>
          <w:sz w:val="32"/>
          <w:szCs w:val="32"/>
          <w:lang w:val="en-US" w:eastAsia="zh-CN"/>
        </w:rPr>
        <w:t>43.1</w:t>
      </w:r>
      <w:r>
        <w:rPr>
          <w:rFonts w:hint="eastAsia" w:ascii="仿宋_GB2312" w:hAnsi="仿宋_GB2312" w:eastAsia="仿宋_GB2312" w:cs="仿宋_GB2312"/>
          <w:bCs/>
          <w:sz w:val="32"/>
          <w:szCs w:val="32"/>
        </w:rPr>
        <w:t>万元，对下补助0万元</w:t>
      </w:r>
      <w:r>
        <w:rPr>
          <w:rFonts w:hint="eastAsia" w:ascii="仿宋_GB2312" w:hAnsi="仿宋_GB2312" w:eastAsia="仿宋_GB2312" w:cs="仿宋_GB2312"/>
          <w:bCs/>
          <w:sz w:val="32"/>
          <w:szCs w:val="32"/>
          <w:lang w:eastAsia="zh-CN"/>
        </w:rPr>
        <w:t>）</w:t>
      </w:r>
      <w:r>
        <w:rPr>
          <w:rFonts w:hint="eastAsia" w:ascii="仿宋_GB2312" w:hAnsi="仿宋_GB2312" w:eastAsia="仿宋_GB2312" w:cs="仿宋_GB2312"/>
          <w:bCs/>
          <w:sz w:val="32"/>
          <w:szCs w:val="32"/>
        </w:rPr>
        <w:t>。</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3、比上年增减情况</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2019年预算收支安排</w:t>
      </w:r>
      <w:r>
        <w:rPr>
          <w:rFonts w:hint="eastAsia" w:ascii="仿宋_GB2312" w:hAnsi="仿宋_GB2312" w:eastAsia="仿宋_GB2312" w:cs="仿宋_GB2312"/>
          <w:sz w:val="32"/>
          <w:szCs w:val="32"/>
          <w:lang w:val="en-US" w:eastAsia="zh-CN"/>
        </w:rPr>
        <w:t>306.52</w:t>
      </w:r>
      <w:r>
        <w:rPr>
          <w:rFonts w:hint="eastAsia" w:ascii="仿宋_GB2312" w:hAnsi="仿宋_GB2312" w:eastAsia="仿宋_GB2312" w:cs="仿宋_GB2312"/>
          <w:sz w:val="32"/>
          <w:szCs w:val="32"/>
        </w:rPr>
        <w:t>万元，较2018年预算</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50.23</w:t>
      </w:r>
      <w:r>
        <w:rPr>
          <w:rFonts w:hint="eastAsia" w:ascii="仿宋_GB2312" w:hAnsi="仿宋_GB2312" w:eastAsia="仿宋_GB2312" w:cs="仿宋_GB2312"/>
          <w:sz w:val="32"/>
          <w:szCs w:val="32"/>
        </w:rPr>
        <w:t>万元，其中：基本支出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37.83</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rPr>
        <w:t>人员经费支出；项目支出</w:t>
      </w:r>
      <w:r>
        <w:rPr>
          <w:rFonts w:hint="eastAsia" w:ascii="仿宋_GB2312" w:hAnsi="仿宋_GB2312" w:eastAsia="仿宋_GB2312" w:cs="仿宋_GB2312"/>
          <w:sz w:val="32"/>
          <w:szCs w:val="32"/>
          <w:lang w:eastAsia="zh-CN"/>
        </w:rPr>
        <w:t>增加</w:t>
      </w:r>
      <w:r>
        <w:rPr>
          <w:rFonts w:hint="eastAsia" w:ascii="仿宋_GB2312" w:hAnsi="仿宋_GB2312" w:eastAsia="仿宋_GB2312" w:cs="仿宋_GB2312"/>
          <w:sz w:val="32"/>
          <w:szCs w:val="32"/>
          <w:lang w:val="en-US" w:eastAsia="zh-CN"/>
        </w:rPr>
        <w:t>12.4</w:t>
      </w:r>
      <w:r>
        <w:rPr>
          <w:rFonts w:hint="eastAsia" w:ascii="仿宋_GB2312" w:hAnsi="仿宋_GB2312" w:eastAsia="仿宋_GB2312" w:cs="仿宋_GB2312"/>
          <w:sz w:val="32"/>
          <w:szCs w:val="32"/>
        </w:rPr>
        <w:t>万元，主要为</w:t>
      </w:r>
      <w:r>
        <w:rPr>
          <w:rFonts w:hint="eastAsia" w:ascii="仿宋_GB2312" w:hAnsi="仿宋_GB2312" w:eastAsia="仿宋_GB2312" w:cs="仿宋_GB2312"/>
          <w:sz w:val="32"/>
          <w:szCs w:val="32"/>
          <w:lang w:eastAsia="zh-CN"/>
        </w:rPr>
        <w:t>年鉴经费增加</w:t>
      </w:r>
      <w:r>
        <w:rPr>
          <w:rFonts w:hint="eastAsia" w:ascii="仿宋_GB2312" w:hAnsi="仿宋_GB2312" w:eastAsia="仿宋_GB2312" w:cs="仿宋_GB2312"/>
          <w:sz w:val="32"/>
          <w:szCs w:val="32"/>
        </w:rPr>
        <w:t>。</w:t>
      </w:r>
    </w:p>
    <w:p>
      <w:pPr>
        <w:autoSpaceDE w:val="0"/>
        <w:autoSpaceDN w:val="0"/>
        <w:adjustRightInd w:val="0"/>
        <w:ind w:firstLine="636"/>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三、机关运行经费安排情况   </w:t>
      </w:r>
    </w:p>
    <w:p>
      <w:pPr>
        <w:autoSpaceDE w:val="0"/>
        <w:autoSpaceDN w:val="0"/>
        <w:adjustRightInd w:val="0"/>
        <w:ind w:firstLine="636"/>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eastAsia="zh-CN"/>
        </w:rPr>
        <w:t>机关运行经费包括办公费</w:t>
      </w:r>
      <w:r>
        <w:rPr>
          <w:rFonts w:hint="eastAsia" w:ascii="仿宋_GB2312" w:hAnsi="仿宋_GB2312" w:eastAsia="仿宋_GB2312" w:cs="仿宋_GB2312"/>
          <w:sz w:val="32"/>
          <w:szCs w:val="32"/>
          <w:lang w:val="en-US" w:eastAsia="zh-CN"/>
        </w:rPr>
        <w:t>1万元、邮电费6.9万元、差旅费0.5万元、维护费0.85万元、会议费0.3万元、公务用车运行维护费2.5万元、其他商品和服务支出2.22万元、其他交通费2.46万元、印刷费0.2万元、培训费0.38万元、工会经费1.37万元、福利费1.94万元。</w:t>
      </w:r>
    </w:p>
    <w:p>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四、财政拨款“三公”经费预算情况及增减变化原因</w:t>
      </w:r>
    </w:p>
    <w:p>
      <w:pPr>
        <w:adjustRightInd w:val="0"/>
        <w:snapToGrid w:val="0"/>
        <w:spacing w:line="600" w:lineRule="exact"/>
        <w:jc w:val="left"/>
        <w:rPr>
          <w:rFonts w:hint="eastAsia" w:ascii="仿宋_GB2312" w:hAnsi="仿宋_GB2312" w:eastAsia="仿宋_GB2312" w:cs="仿宋_GB2312"/>
          <w:sz w:val="32"/>
          <w:szCs w:val="32"/>
        </w:rPr>
      </w:pPr>
      <w:r>
        <w:rPr>
          <w:rFonts w:hint="eastAsia" w:ascii="仿宋_GB2312" w:hAnsi="仿宋_GB2312" w:eastAsia="仿宋_GB2312" w:cs="仿宋_GB2312"/>
          <w:bCs/>
          <w:sz w:val="32"/>
          <w:szCs w:val="32"/>
        </w:rPr>
        <w:t>201</w:t>
      </w:r>
      <w:r>
        <w:rPr>
          <w:rFonts w:hint="eastAsia" w:ascii="仿宋_GB2312" w:hAnsi="仿宋_GB2312" w:eastAsia="仿宋_GB2312" w:cs="仿宋_GB2312"/>
          <w:bCs/>
          <w:sz w:val="32"/>
          <w:szCs w:val="32"/>
          <w:lang w:val="en-US" w:eastAsia="zh-CN"/>
        </w:rPr>
        <w:t>9</w:t>
      </w:r>
      <w:r>
        <w:rPr>
          <w:rFonts w:hint="eastAsia" w:ascii="仿宋_GB2312" w:hAnsi="仿宋_GB2312" w:eastAsia="仿宋_GB2312" w:cs="仿宋_GB2312"/>
          <w:bCs/>
          <w:sz w:val="32"/>
          <w:szCs w:val="32"/>
        </w:rPr>
        <w:t>年“三公”经费支出2.5万元，与上年相同。其中，因公出国（境）费0万元，与上年相同；公务用车购置及运行维护费2.5万元(其中公务用车购置0万元，公务用车运行维护费2.5万元），与上年相同；公务接待费0万元，与上年相同。</w:t>
      </w:r>
      <w:r>
        <w:rPr>
          <w:rFonts w:hint="eastAsia" w:ascii="仿宋_GB2312" w:hAnsi="仿宋_GB2312" w:eastAsia="仿宋_GB2312" w:cs="仿宋_GB2312"/>
          <w:sz w:val="32"/>
          <w:szCs w:val="32"/>
          <w:lang w:eastAsia="zh-CN"/>
        </w:rPr>
        <w:t>按照勤俭办公的原则未增加“三公</w:t>
      </w:r>
      <w:r>
        <w:rPr>
          <w:rFonts w:hint="eastAsia"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eastAsia="zh-CN"/>
        </w:rPr>
        <w:t>经费预算</w:t>
      </w:r>
      <w:r>
        <w:rPr>
          <w:rFonts w:hint="eastAsia" w:ascii="仿宋_GB2312" w:hAnsi="仿宋_GB2312" w:eastAsia="仿宋_GB2312" w:cs="仿宋_GB2312"/>
          <w:sz w:val="32"/>
          <w:szCs w:val="32"/>
          <w:lang w:val="en-US" w:eastAsia="zh-CN"/>
        </w:rPr>
        <w:t>。</w:t>
      </w:r>
    </w:p>
    <w:p>
      <w:pPr>
        <w:ind w:firstLine="64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五、绩效预算信息</w:t>
      </w:r>
    </w:p>
    <w:p>
      <w:pPr>
        <w:ind w:firstLine="640" w:firstLineChars="200"/>
        <w:jc w:val="left"/>
        <w:rPr>
          <w:rFonts w:hint="eastAsia" w:ascii="仿宋_GB2312" w:hAnsi="仿宋_GB2312" w:eastAsia="仿宋_GB2312" w:cs="仿宋_GB2312"/>
          <w:b w:val="0"/>
          <w:bCs/>
          <w:sz w:val="32"/>
          <w:szCs w:val="32"/>
        </w:rPr>
      </w:pPr>
      <w:bookmarkStart w:id="0" w:name="_Toc471398463"/>
      <w:r>
        <w:rPr>
          <w:rFonts w:hint="eastAsia" w:ascii="仿宋_GB2312" w:hAnsi="仿宋_GB2312" w:eastAsia="仿宋_GB2312" w:cs="仿宋_GB2312"/>
          <w:b w:val="0"/>
          <w:bCs/>
          <w:sz w:val="32"/>
          <w:szCs w:val="32"/>
        </w:rPr>
        <w:t>总体绩效目标：</w:t>
      </w:r>
    </w:p>
    <w:p>
      <w:pPr>
        <w:ind w:firstLine="56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2019年，坚持以习近平新时代中国特色社会主义思想为指导，认真落实中央和</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委</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政府决策部署，努力为新时代全面建设经济强</w:t>
      </w:r>
      <w:r>
        <w:rPr>
          <w:rFonts w:hint="eastAsia" w:ascii="仿宋_GB2312" w:hAnsi="仿宋_GB2312" w:eastAsia="仿宋_GB2312" w:cs="仿宋_GB2312"/>
          <w:sz w:val="32"/>
          <w:szCs w:val="32"/>
          <w:lang w:eastAsia="zh-CN"/>
        </w:rPr>
        <w:t>区</w:t>
      </w:r>
      <w:r>
        <w:rPr>
          <w:rFonts w:hint="eastAsia" w:ascii="仿宋_GB2312" w:hAnsi="仿宋_GB2312" w:eastAsia="仿宋_GB2312" w:cs="仿宋_GB2312"/>
          <w:sz w:val="32"/>
          <w:szCs w:val="32"/>
        </w:rPr>
        <w:t>、美丽</w:t>
      </w:r>
      <w:r>
        <w:rPr>
          <w:rFonts w:hint="eastAsia" w:ascii="仿宋_GB2312" w:hAnsi="仿宋_GB2312" w:eastAsia="仿宋_GB2312" w:cs="仿宋_GB2312"/>
          <w:sz w:val="32"/>
          <w:szCs w:val="32"/>
          <w:lang w:eastAsia="zh-CN"/>
        </w:rPr>
        <w:t>长安</w:t>
      </w:r>
      <w:r>
        <w:rPr>
          <w:rFonts w:hint="eastAsia" w:ascii="仿宋_GB2312" w:hAnsi="仿宋_GB2312" w:eastAsia="仿宋_GB2312" w:cs="仿宋_GB2312"/>
          <w:sz w:val="32"/>
          <w:szCs w:val="32"/>
        </w:rPr>
        <w:t>提供更加有力的支撑。</w:t>
      </w:r>
    </w:p>
    <w:p>
      <w:pPr>
        <w:ind w:firstLine="640" w:firstLineChars="200"/>
        <w:jc w:val="left"/>
        <w:rPr>
          <w:rFonts w:hint="eastAsia" w:ascii="仿宋_GB2312" w:hAnsi="仿宋_GB2312" w:eastAsia="仿宋_GB2312" w:cs="仿宋_GB2312"/>
          <w:b w:val="0"/>
          <w:bCs/>
          <w:sz w:val="32"/>
          <w:szCs w:val="32"/>
        </w:rPr>
      </w:pPr>
      <w:r>
        <w:rPr>
          <w:rFonts w:hint="eastAsia" w:ascii="仿宋_GB2312" w:hAnsi="仿宋_GB2312" w:eastAsia="仿宋_GB2312" w:cs="仿宋_GB2312"/>
          <w:b w:val="0"/>
          <w:bCs/>
          <w:sz w:val="32"/>
          <w:szCs w:val="32"/>
        </w:rPr>
        <w:t>职责分类绩效目标：</w:t>
      </w:r>
    </w:p>
    <w:bookmarkEnd w:id="0"/>
    <w:p>
      <w:pPr>
        <w:outlineLvl w:val="0"/>
        <w:rPr>
          <w:rFonts w:hint="eastAsia" w:ascii="仿宋_GB2312" w:hAnsi="仿宋_GB2312" w:eastAsia="仿宋_GB2312" w:cs="仿宋_GB2312"/>
          <w:b w:val="0"/>
          <w:bCs w:val="0"/>
          <w:sz w:val="32"/>
          <w:szCs w:val="32"/>
          <w:lang w:val="en-US" w:eastAsia="zh-CN"/>
        </w:rPr>
      </w:pPr>
      <w:r>
        <w:rPr>
          <w:rFonts w:hint="eastAsia" w:ascii="仿宋_GB2312" w:hAnsi="仿宋_GB2312" w:eastAsia="仿宋_GB2312" w:cs="仿宋_GB2312"/>
          <w:b w:val="0"/>
          <w:bCs w:val="0"/>
          <w:sz w:val="32"/>
          <w:szCs w:val="32"/>
          <w:lang w:val="en-US" w:eastAsia="zh-CN"/>
        </w:rPr>
        <w:t xml:space="preserve">   </w:t>
      </w:r>
    </w:p>
    <w:p>
      <w:pPr>
        <w:outlineLvl w:val="0"/>
        <w:rPr>
          <w:rFonts w:hint="eastAsia" w:ascii="仿宋_GB2312" w:hAnsi="仿宋_GB2312" w:eastAsia="仿宋_GB2312" w:cs="仿宋_GB2312"/>
          <w:b w:val="0"/>
          <w:bCs w:val="0"/>
          <w:sz w:val="32"/>
          <w:szCs w:val="32"/>
          <w:lang w:val="en-US" w:eastAsia="zh-CN"/>
        </w:rPr>
      </w:pPr>
    </w:p>
    <w:p>
      <w:pPr>
        <w:outlineLvl w:val="0"/>
        <w:rPr>
          <w:rFonts w:hint="eastAsia" w:ascii="仿宋_GB2312" w:hAnsi="仿宋_GB2312" w:eastAsia="仿宋_GB2312" w:cs="仿宋_GB2312"/>
          <w:b w:val="0"/>
          <w:bCs w:val="0"/>
          <w:sz w:val="32"/>
          <w:szCs w:val="32"/>
        </w:rPr>
      </w:pPr>
      <w:r>
        <w:rPr>
          <w:rFonts w:hint="eastAsia" w:ascii="仿宋_GB2312" w:hAnsi="仿宋_GB2312" w:eastAsia="仿宋_GB2312" w:cs="仿宋_GB2312"/>
          <w:b w:val="0"/>
          <w:bCs w:val="0"/>
          <w:sz w:val="32"/>
          <w:szCs w:val="32"/>
        </w:rPr>
        <w:t xml:space="preserve">部门职责及工作活动绩效目标指标 ： </w:t>
      </w:r>
      <w:bookmarkStart w:id="1" w:name="_Toc475969119"/>
    </w:p>
    <w:p>
      <w:pPr>
        <w:jc w:val="center"/>
        <w:outlineLvl w:val="0"/>
        <w:rPr>
          <w:rFonts w:hint="eastAsia" w:ascii="仿宋_GB2312" w:hAnsi="仿宋_GB2312" w:eastAsia="仿宋_GB2312" w:cs="仿宋_GB2312"/>
          <w:sz w:val="32"/>
        </w:rPr>
      </w:pPr>
    </w:p>
    <w:bookmarkEnd w:id="1"/>
    <w:p>
      <w:pPr>
        <w:jc w:val="center"/>
        <w:outlineLvl w:val="0"/>
        <w:rPr>
          <w:rFonts w:hint="eastAsia" w:ascii="仿宋_GB2312" w:hAnsi="仿宋_GB2312" w:eastAsia="仿宋_GB2312" w:cs="仿宋_GB2312"/>
          <w:sz w:val="32"/>
        </w:rPr>
      </w:pPr>
      <w:bookmarkStart w:id="2" w:name="_Toc505262902"/>
    </w:p>
    <w:p>
      <w:pPr>
        <w:jc w:val="center"/>
        <w:outlineLvl w:val="0"/>
        <w:rPr>
          <w:rFonts w:hint="eastAsia" w:ascii="仿宋_GB2312" w:hAnsi="仿宋_GB2312" w:eastAsia="仿宋_GB2312" w:cs="仿宋_GB2312"/>
          <w:sz w:val="32"/>
        </w:rPr>
      </w:pPr>
      <w:r>
        <w:rPr>
          <w:rFonts w:hint="eastAsia" w:ascii="仿宋_GB2312" w:hAnsi="仿宋_GB2312" w:eastAsia="仿宋_GB2312" w:cs="仿宋_GB2312"/>
          <w:sz w:val="32"/>
        </w:rPr>
        <w:t>部门职责-工作活动绩效目标</w:t>
      </w:r>
      <w:bookmarkEnd w:id="2"/>
    </w:p>
    <w:tbl>
      <w:tblPr>
        <w:tblStyle w:val="12"/>
        <w:tblW w:w="1393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341"/>
        <w:gridCol w:w="1276"/>
        <w:gridCol w:w="2976"/>
        <w:gridCol w:w="2976"/>
        <w:gridCol w:w="538"/>
        <w:gridCol w:w="879"/>
        <w:gridCol w:w="737"/>
        <w:gridCol w:w="737"/>
        <w:gridCol w:w="360"/>
        <w:gridCol w:w="377"/>
        <w:gridCol w:w="73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gridAfter w:val="2"/>
          <w:wAfter w:w="1114" w:type="dxa"/>
          <w:trHeight w:val="216" w:hRule="atLeast"/>
          <w:tblHeader/>
          <w:jc w:val="center"/>
        </w:trPr>
        <w:tc>
          <w:tcPr>
            <w:tcW w:w="10107" w:type="dxa"/>
            <w:gridSpan w:val="5"/>
            <w:tcBorders>
              <w:top w:val="single" w:color="FFFFFF" w:sz="6" w:space="0"/>
              <w:left w:val="single" w:color="FFFFFF" w:sz="6" w:space="0"/>
              <w:right w:val="single" w:color="FFFFFF" w:sz="6" w:space="0"/>
            </w:tcBorders>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color w:val="000000"/>
                <w:kern w:val="0"/>
                <w:sz w:val="24"/>
                <w:szCs w:val="24"/>
                <w:lang w:val="en-US" w:eastAsia="zh-CN"/>
              </w:rPr>
              <w:t>241002</w:t>
            </w:r>
            <w:r>
              <w:rPr>
                <w:rFonts w:hint="eastAsia" w:ascii="仿宋_GB2312" w:hAnsi="仿宋_GB2312" w:eastAsia="仿宋_GB2312" w:cs="仿宋_GB2312"/>
                <w:color w:val="000000"/>
                <w:kern w:val="0"/>
                <w:sz w:val="24"/>
                <w:szCs w:val="24"/>
              </w:rPr>
              <w:t>长安区</w:t>
            </w:r>
            <w:r>
              <w:rPr>
                <w:rFonts w:hint="eastAsia" w:ascii="仿宋_GB2312" w:hAnsi="仿宋_GB2312" w:eastAsia="仿宋_GB2312" w:cs="仿宋_GB2312"/>
                <w:color w:val="000000"/>
                <w:kern w:val="0"/>
                <w:sz w:val="24"/>
                <w:szCs w:val="24"/>
                <w:lang w:eastAsia="zh-CN"/>
              </w:rPr>
              <w:t>档案馆</w:t>
            </w:r>
          </w:p>
        </w:tc>
        <w:tc>
          <w:tcPr>
            <w:tcW w:w="2713" w:type="dxa"/>
            <w:gridSpan w:val="4"/>
            <w:tcBorders>
              <w:top w:val="single" w:color="FFFFFF" w:sz="6" w:space="0"/>
              <w:left w:val="single" w:color="FFFFFF" w:sz="6" w:space="0"/>
              <w:right w:val="single" w:color="FFFFFF" w:sz="6" w:space="0"/>
            </w:tcBorders>
            <w:vAlign w:val="center"/>
          </w:tcPr>
          <w:p>
            <w:pPr>
              <w:spacing w:line="300" w:lineRule="exact"/>
              <w:jc w:val="righ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restart"/>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职责活动</w:t>
            </w:r>
          </w:p>
        </w:tc>
        <w:tc>
          <w:tcPr>
            <w:tcW w:w="1276" w:type="dxa"/>
            <w:vMerge w:val="restart"/>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年度预算数</w:t>
            </w:r>
          </w:p>
        </w:tc>
        <w:tc>
          <w:tcPr>
            <w:tcW w:w="2976" w:type="dxa"/>
            <w:vMerge w:val="restart"/>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内容描述</w:t>
            </w:r>
          </w:p>
        </w:tc>
        <w:tc>
          <w:tcPr>
            <w:tcW w:w="2976" w:type="dxa"/>
            <w:vMerge w:val="restart"/>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绩效目标</w:t>
            </w:r>
          </w:p>
        </w:tc>
        <w:tc>
          <w:tcPr>
            <w:tcW w:w="1417" w:type="dxa"/>
            <w:gridSpan w:val="2"/>
            <w:vMerge w:val="restart"/>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绩效指标</w:t>
            </w:r>
          </w:p>
        </w:tc>
        <w:tc>
          <w:tcPr>
            <w:tcW w:w="2948" w:type="dxa"/>
            <w:gridSpan w:val="5"/>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评价标准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tblHeader/>
          <w:jc w:val="center"/>
        </w:trPr>
        <w:tc>
          <w:tcPr>
            <w:tcW w:w="2341" w:type="dxa"/>
            <w:vMerge w:val="continue"/>
            <w:vAlign w:val="center"/>
          </w:tcPr>
          <w:p>
            <w:pPr>
              <w:spacing w:line="300" w:lineRule="exact"/>
              <w:jc w:val="left"/>
              <w:outlineLvl w:val="0"/>
              <w:rPr>
                <w:rFonts w:hint="eastAsia" w:ascii="仿宋_GB2312" w:hAnsi="仿宋_GB2312" w:eastAsia="仿宋_GB2312" w:cs="仿宋_GB2312"/>
                <w:sz w:val="24"/>
                <w:szCs w:val="24"/>
              </w:rPr>
            </w:pPr>
          </w:p>
        </w:tc>
        <w:tc>
          <w:tcPr>
            <w:tcW w:w="1276" w:type="dxa"/>
            <w:vMerge w:val="continue"/>
            <w:vAlign w:val="center"/>
          </w:tcPr>
          <w:p>
            <w:pPr>
              <w:spacing w:line="300" w:lineRule="exact"/>
              <w:jc w:val="left"/>
              <w:outlineLvl w:val="0"/>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outlineLvl w:val="0"/>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outlineLvl w:val="0"/>
              <w:rPr>
                <w:rFonts w:hint="eastAsia" w:ascii="仿宋_GB2312" w:hAnsi="仿宋_GB2312" w:eastAsia="仿宋_GB2312" w:cs="仿宋_GB2312"/>
                <w:sz w:val="24"/>
                <w:szCs w:val="24"/>
              </w:rPr>
            </w:pPr>
          </w:p>
        </w:tc>
        <w:tc>
          <w:tcPr>
            <w:tcW w:w="1417" w:type="dxa"/>
            <w:gridSpan w:val="2"/>
            <w:vMerge w:val="continue"/>
            <w:vAlign w:val="center"/>
          </w:tcPr>
          <w:p>
            <w:pPr>
              <w:spacing w:line="300" w:lineRule="exact"/>
              <w:jc w:val="left"/>
              <w:outlineLvl w:val="0"/>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优</w:t>
            </w:r>
          </w:p>
        </w:tc>
        <w:tc>
          <w:tcPr>
            <w:tcW w:w="737" w:type="dxa"/>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良</w:t>
            </w:r>
          </w:p>
        </w:tc>
        <w:tc>
          <w:tcPr>
            <w:tcW w:w="737" w:type="dxa"/>
            <w:gridSpan w:val="2"/>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w:t>
            </w:r>
          </w:p>
        </w:tc>
        <w:tc>
          <w:tcPr>
            <w:tcW w:w="737" w:type="dxa"/>
            <w:vAlign w:val="center"/>
          </w:tcPr>
          <w:p>
            <w:pPr>
              <w:spacing w:line="300" w:lineRule="exact"/>
              <w:jc w:val="center"/>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档案收集保管与开发利用</w:t>
            </w:r>
          </w:p>
        </w:tc>
        <w:tc>
          <w:tcPr>
            <w:tcW w:w="12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000000</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做好区直单位年度档案立卷、培训、验收和机关团体企事业单位档案工作目标管理认定，做好档案资源建设和保管，优化馆藏，做好重点档案抢救、保护、开发和信息化管理工作。提供档案查阅和利用，培育档案文化产业，推进全县档案信息化工作。</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丰富馆藏内容，方便保管和利用，完成档案的托裱、修复、复制、开发等抢救保护工作，最大限度地延长档案寿命。实现对档案的数据化备份和保护。把</w:t>
            </w:r>
            <w:r>
              <w:rPr>
                <w:rFonts w:hint="eastAsia" w:ascii="仿宋_GB2312" w:hAnsi="仿宋_GB2312" w:eastAsia="仿宋_GB2312" w:cs="仿宋_GB2312"/>
                <w:sz w:val="24"/>
                <w:szCs w:val="24"/>
                <w:cs/>
              </w:rPr>
              <w:t>“</w:t>
            </w:r>
            <w:r>
              <w:rPr>
                <w:rFonts w:hint="eastAsia" w:ascii="仿宋_GB2312" w:hAnsi="仿宋_GB2312" w:eastAsia="仿宋_GB2312" w:cs="仿宋_GB2312"/>
                <w:sz w:val="24"/>
                <w:szCs w:val="24"/>
              </w:rPr>
              <w:t>死档案</w:t>
            </w:r>
            <w:r>
              <w:rPr>
                <w:rFonts w:hint="eastAsia" w:ascii="仿宋_GB2312" w:hAnsi="仿宋_GB2312" w:eastAsia="仿宋_GB2312" w:cs="仿宋_GB2312"/>
                <w:sz w:val="24"/>
                <w:szCs w:val="24"/>
                <w:cs/>
              </w:rPr>
              <w:t>”</w:t>
            </w:r>
            <w:r>
              <w:rPr>
                <w:rFonts w:hint="eastAsia" w:ascii="仿宋_GB2312" w:hAnsi="仿宋_GB2312" w:eastAsia="仿宋_GB2312" w:cs="仿宋_GB2312"/>
                <w:sz w:val="24"/>
                <w:szCs w:val="24"/>
              </w:rPr>
              <w:t>变成</w:t>
            </w:r>
            <w:r>
              <w:rPr>
                <w:rFonts w:hint="eastAsia" w:ascii="仿宋_GB2312" w:hAnsi="仿宋_GB2312" w:eastAsia="仿宋_GB2312" w:cs="仿宋_GB2312"/>
                <w:sz w:val="24"/>
                <w:szCs w:val="24"/>
                <w:cs/>
              </w:rPr>
              <w:t>“</w:t>
            </w:r>
            <w:r>
              <w:rPr>
                <w:rFonts w:hint="eastAsia" w:ascii="仿宋_GB2312" w:hAnsi="仿宋_GB2312" w:eastAsia="仿宋_GB2312" w:cs="仿宋_GB2312"/>
                <w:sz w:val="24"/>
                <w:szCs w:val="24"/>
              </w:rPr>
              <w:t>活信息</w:t>
            </w:r>
            <w:r>
              <w:rPr>
                <w:rFonts w:hint="eastAsia" w:ascii="仿宋_GB2312" w:hAnsi="仿宋_GB2312" w:eastAsia="仿宋_GB2312" w:cs="仿宋_GB2312"/>
                <w:sz w:val="24"/>
                <w:szCs w:val="24"/>
                <w:cs/>
              </w:rPr>
              <w:t>”</w:t>
            </w:r>
            <w:r>
              <w:rPr>
                <w:rFonts w:hint="eastAsia" w:ascii="仿宋_GB2312" w:hAnsi="仿宋_GB2312" w:eastAsia="仿宋_GB2312" w:cs="仿宋_GB2312"/>
                <w:sz w:val="24"/>
                <w:szCs w:val="24"/>
              </w:rPr>
              <w:t>，更好为各级党委和政府决策、管理服务。</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c>
          <w:tcPr>
            <w:tcW w:w="737" w:type="dxa"/>
            <w:gridSpan w:val="2"/>
            <w:vAlign w:val="center"/>
          </w:tcPr>
          <w:p>
            <w:pPr>
              <w:spacing w:line="300" w:lineRule="exact"/>
              <w:jc w:val="center"/>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档案收集与整理</w:t>
            </w:r>
          </w:p>
        </w:tc>
        <w:tc>
          <w:tcPr>
            <w:tcW w:w="12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000000</w:t>
            </w:r>
          </w:p>
        </w:tc>
        <w:tc>
          <w:tcPr>
            <w:tcW w:w="29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依据规定对档案进行征集、接收和整理，对相关单位纸质、电子、专题档案进行收集、整理和保存。</w:t>
            </w:r>
          </w:p>
        </w:tc>
        <w:tc>
          <w:tcPr>
            <w:tcW w:w="29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丰富馆藏内容，满足工作考察、历史研究、编史修志等方面的需求，提高档案利用价值。</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档案整理、移交、接收、管理、保存工作完成率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仿宋_GB2312" w:hAnsi="仿宋_GB2312" w:eastAsia="仿宋_GB2312" w:cs="仿宋_GB2312"/>
                <w:b/>
                <w:sz w:val="24"/>
                <w:szCs w:val="24"/>
              </w:rPr>
            </w:pPr>
          </w:p>
        </w:tc>
        <w:tc>
          <w:tcPr>
            <w:tcW w:w="12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文件级目录数据化工作完成率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restart"/>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档案保管</w:t>
            </w:r>
          </w:p>
        </w:tc>
        <w:tc>
          <w:tcPr>
            <w:tcW w:w="12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000000</w:t>
            </w:r>
          </w:p>
        </w:tc>
        <w:tc>
          <w:tcPr>
            <w:tcW w:w="29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加强前馆和后库档案库房管理，提高全县档案馆室建设水平,做好重点档案抢救和保护，加强全县档案信息化，各类数据库建设，数字化加工、转换、备份，信息安全等级保护工作及特殊载体保管。</w:t>
            </w:r>
          </w:p>
        </w:tc>
        <w:tc>
          <w:tcPr>
            <w:tcW w:w="2976" w:type="dxa"/>
            <w:vMerge w:val="restart"/>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应用各种技术手段，对档案资料进行管护和数字化转换，重现档案原貌，最大限度地延长档案寿命。建立专题档案全文数据库，便于开发利用，为社会公众服务。</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国家重点档案目录数据库建设工作完成率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仿宋_GB2312" w:hAnsi="仿宋_GB2312" w:eastAsia="仿宋_GB2312" w:cs="仿宋_GB2312"/>
                <w:b/>
                <w:sz w:val="24"/>
                <w:szCs w:val="24"/>
              </w:rPr>
            </w:pPr>
          </w:p>
        </w:tc>
        <w:tc>
          <w:tcPr>
            <w:tcW w:w="12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档案资料完好率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仿宋_GB2312" w:hAnsi="仿宋_GB2312" w:eastAsia="仿宋_GB2312" w:cs="仿宋_GB2312"/>
                <w:b/>
                <w:sz w:val="24"/>
                <w:szCs w:val="24"/>
              </w:rPr>
            </w:pPr>
          </w:p>
        </w:tc>
        <w:tc>
          <w:tcPr>
            <w:tcW w:w="12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2976" w:type="dxa"/>
            <w:vMerge w:val="continue"/>
            <w:vAlign w:val="center"/>
          </w:tcPr>
          <w:p>
            <w:pPr>
              <w:spacing w:line="300" w:lineRule="exact"/>
              <w:jc w:val="left"/>
              <w:rPr>
                <w:rFonts w:hint="eastAsia" w:ascii="仿宋_GB2312" w:hAnsi="仿宋_GB2312" w:eastAsia="仿宋_GB2312" w:cs="仿宋_GB2312"/>
                <w:sz w:val="24"/>
                <w:szCs w:val="24"/>
              </w:rPr>
            </w:pP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档案设施设备完好率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Merge w:val="continue"/>
            <w:vAlign w:val="center"/>
          </w:tcPr>
          <w:p>
            <w:pPr>
              <w:spacing w:line="300" w:lineRule="exact"/>
              <w:jc w:val="left"/>
              <w:rPr>
                <w:rFonts w:hint="eastAsia" w:ascii="方正书宋_GBK" w:eastAsia="方正书宋_GBK"/>
                <w:b/>
                <w:sz w:val="24"/>
                <w:szCs w:val="24"/>
              </w:rPr>
            </w:pPr>
          </w:p>
        </w:tc>
        <w:tc>
          <w:tcPr>
            <w:tcW w:w="1276" w:type="dxa"/>
            <w:vMerge w:val="continue"/>
            <w:vAlign w:val="center"/>
          </w:tcPr>
          <w:p>
            <w:pPr>
              <w:spacing w:line="300" w:lineRule="exact"/>
              <w:jc w:val="left"/>
              <w:rPr>
                <w:rFonts w:ascii="方正书宋_GBK" w:eastAsia="方正书宋_GBK"/>
                <w:sz w:val="24"/>
                <w:szCs w:val="24"/>
              </w:rPr>
            </w:pPr>
          </w:p>
        </w:tc>
        <w:tc>
          <w:tcPr>
            <w:tcW w:w="2976" w:type="dxa"/>
            <w:vMerge w:val="continue"/>
            <w:vAlign w:val="center"/>
          </w:tcPr>
          <w:p>
            <w:pPr>
              <w:spacing w:line="300" w:lineRule="exact"/>
              <w:jc w:val="left"/>
              <w:rPr>
                <w:rFonts w:hint="eastAsia" w:ascii="方正书宋_GBK" w:eastAsia="方正书宋_GBK"/>
                <w:sz w:val="24"/>
                <w:szCs w:val="24"/>
              </w:rPr>
            </w:pPr>
          </w:p>
        </w:tc>
        <w:tc>
          <w:tcPr>
            <w:tcW w:w="2976" w:type="dxa"/>
            <w:vMerge w:val="continue"/>
            <w:vAlign w:val="center"/>
          </w:tcPr>
          <w:p>
            <w:pPr>
              <w:spacing w:line="300" w:lineRule="exact"/>
              <w:jc w:val="left"/>
              <w:rPr>
                <w:rFonts w:hint="eastAsia" w:ascii="方正书宋_GBK" w:eastAsia="方正书宋_GBK"/>
                <w:sz w:val="24"/>
                <w:szCs w:val="24"/>
              </w:rPr>
            </w:pP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专题档案全文数据库建设工作完成率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档案编研开发</w:t>
            </w:r>
          </w:p>
        </w:tc>
        <w:tc>
          <w:tcPr>
            <w:tcW w:w="1276" w:type="dxa"/>
            <w:vAlign w:val="center"/>
          </w:tcPr>
          <w:p>
            <w:pPr>
              <w:spacing w:line="300" w:lineRule="exact"/>
              <w:jc w:val="left"/>
              <w:rPr>
                <w:rFonts w:hint="eastAsia" w:ascii="仿宋_GB2312" w:hAnsi="仿宋_GB2312" w:eastAsia="仿宋_GB2312" w:cs="仿宋_GB2312"/>
                <w:sz w:val="24"/>
                <w:szCs w:val="24"/>
              </w:rPr>
            </w:pP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档案的搜集、征集、整理、汇集。对国家重点档案进行深入的开发。</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挖掘档案的价值，为社会公众服务。</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档案编研工作完成率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档案利用</w:t>
            </w:r>
          </w:p>
        </w:tc>
        <w:tc>
          <w:tcPr>
            <w:tcW w:w="12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000000</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建立全县性的性数字档案馆，对档案进行鉴定，开展全县档案科学技术研究管理。</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实现我县档案馆的馆藏开放档案数据和政府公开信息的发布与共享。开发、利用科技成果，为利用者提供快速、准确的档案查询服务。</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档案查准率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≥75%</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综合事务管理</w:t>
            </w:r>
          </w:p>
        </w:tc>
        <w:tc>
          <w:tcPr>
            <w:tcW w:w="12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300000</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确保机关正常运转，各项业务顺利推进，适应档案事业发展需要</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保障机关工作正常高效运转。</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c>
          <w:tcPr>
            <w:tcW w:w="737" w:type="dxa"/>
            <w:gridSpan w:val="2"/>
            <w:vAlign w:val="center"/>
          </w:tcPr>
          <w:p>
            <w:pPr>
              <w:spacing w:line="300" w:lineRule="exact"/>
              <w:jc w:val="center"/>
              <w:rPr>
                <w:rFonts w:hint="eastAsia" w:ascii="仿宋_GB2312" w:hAnsi="仿宋_GB2312" w:eastAsia="仿宋_GB2312" w:cs="仿宋_GB2312"/>
                <w:sz w:val="24"/>
                <w:szCs w:val="24"/>
              </w:rPr>
            </w:pPr>
          </w:p>
        </w:tc>
        <w:tc>
          <w:tcPr>
            <w:tcW w:w="737" w:type="dxa"/>
            <w:vAlign w:val="center"/>
          </w:tcPr>
          <w:p>
            <w:pPr>
              <w:spacing w:line="300" w:lineRule="exact"/>
              <w:jc w:val="center"/>
              <w:rPr>
                <w:rFonts w:hint="eastAsia" w:ascii="仿宋_GB2312" w:hAnsi="仿宋_GB2312" w:eastAsia="仿宋_GB2312" w:cs="仿宋_GB2312"/>
                <w:sz w:val="24"/>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27" w:hRule="atLeast"/>
          <w:jc w:val="center"/>
        </w:trPr>
        <w:tc>
          <w:tcPr>
            <w:tcW w:w="2341" w:type="dxa"/>
            <w:vAlign w:val="center"/>
          </w:tcPr>
          <w:p>
            <w:pPr>
              <w:spacing w:line="300" w:lineRule="exact"/>
              <w:jc w:val="left"/>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　　综合事务管理</w:t>
            </w:r>
          </w:p>
        </w:tc>
        <w:tc>
          <w:tcPr>
            <w:tcW w:w="12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w:t>
            </w:r>
            <w:r>
              <w:rPr>
                <w:rFonts w:hint="eastAsia" w:ascii="仿宋_GB2312" w:hAnsi="仿宋_GB2312" w:eastAsia="仿宋_GB2312" w:cs="仿宋_GB2312"/>
                <w:sz w:val="24"/>
                <w:szCs w:val="24"/>
                <w:lang w:val="en-US" w:eastAsia="zh-CN"/>
              </w:rPr>
              <w:t>.</w:t>
            </w:r>
            <w:r>
              <w:rPr>
                <w:rFonts w:hint="eastAsia" w:ascii="仿宋_GB2312" w:hAnsi="仿宋_GB2312" w:eastAsia="仿宋_GB2312" w:cs="仿宋_GB2312"/>
                <w:sz w:val="24"/>
                <w:szCs w:val="24"/>
              </w:rPr>
              <w:t>300000</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维护档案馆库房设备、档案网运营管理、机关设施，做好全县档案工作会议和专业性会议的组织工作。推进档案事业，做好监督指导，建设档案干部队伍，组织相关培训、表彰，推进全县各类档案馆室建设和新农村建档。</w:t>
            </w:r>
          </w:p>
        </w:tc>
        <w:tc>
          <w:tcPr>
            <w:tcW w:w="2976" w:type="dxa"/>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保障机关工作正常高效运转。完成信息更新，保证网站正常运营。提升财务工作管理水平，促进财务行为合法、规范；确保会议经费不突破预算。规划合理，实施到位，管理科学，宣传到位，使全县档案事业有序快速发展，为现代化建设服务。</w:t>
            </w:r>
          </w:p>
        </w:tc>
        <w:tc>
          <w:tcPr>
            <w:tcW w:w="1417" w:type="dxa"/>
            <w:gridSpan w:val="2"/>
            <w:vAlign w:val="center"/>
          </w:tcPr>
          <w:p>
            <w:pPr>
              <w:spacing w:line="300" w:lineRule="exact"/>
              <w:jc w:val="left"/>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综合事务管理工作完成率</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≥100%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≥95%</w:t>
            </w:r>
          </w:p>
        </w:tc>
        <w:tc>
          <w:tcPr>
            <w:tcW w:w="737" w:type="dxa"/>
            <w:gridSpan w:val="2"/>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≥90%</w:t>
            </w:r>
          </w:p>
        </w:tc>
        <w:tc>
          <w:tcPr>
            <w:tcW w:w="737" w:type="dxa"/>
            <w:vAlign w:val="center"/>
          </w:tcPr>
          <w:p>
            <w:pPr>
              <w:spacing w:line="300" w:lineRule="exact"/>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&lt;90%</w:t>
            </w:r>
          </w:p>
        </w:tc>
      </w:tr>
    </w:tbl>
    <w:p>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六、政府采购预算情况</w:t>
      </w:r>
    </w:p>
    <w:p>
      <w:pPr>
        <w:outlineLvl w:val="0"/>
        <w:rPr>
          <w:rFonts w:hint="eastAsia" w:ascii="仿宋_GB2312" w:hAnsi="仿宋_GB2312" w:eastAsia="仿宋_GB2312" w:cs="仿宋_GB2312"/>
          <w:sz w:val="32"/>
          <w:szCs w:val="24"/>
        </w:rPr>
      </w:pPr>
      <w:bookmarkStart w:id="3" w:name="_Toc471398468"/>
      <w:r>
        <w:rPr>
          <w:rFonts w:hint="eastAsia" w:ascii="仿宋_GB2312" w:hAnsi="仿宋_GB2312" w:eastAsia="仿宋_GB2312" w:cs="仿宋_GB2312"/>
          <w:sz w:val="32"/>
          <w:szCs w:val="24"/>
        </w:rPr>
        <w:t xml:space="preserve">   201</w:t>
      </w:r>
      <w:r>
        <w:rPr>
          <w:rFonts w:hint="eastAsia" w:ascii="仿宋_GB2312" w:hAnsi="仿宋_GB2312" w:eastAsia="仿宋_GB2312" w:cs="仿宋_GB2312"/>
          <w:sz w:val="32"/>
          <w:szCs w:val="24"/>
          <w:lang w:val="en-US" w:eastAsia="zh-CN"/>
        </w:rPr>
        <w:t>9</w:t>
      </w:r>
      <w:bookmarkStart w:id="4" w:name="_GoBack"/>
      <w:bookmarkEnd w:id="4"/>
      <w:r>
        <w:rPr>
          <w:rFonts w:hint="eastAsia" w:ascii="仿宋_GB2312" w:hAnsi="仿宋_GB2312" w:eastAsia="仿宋_GB2312" w:cs="仿宋_GB2312"/>
          <w:sz w:val="32"/>
          <w:szCs w:val="24"/>
        </w:rPr>
        <w:t xml:space="preserve">年，安排政府采购预算  </w:t>
      </w:r>
      <w:r>
        <w:rPr>
          <w:rFonts w:hint="eastAsia" w:ascii="仿宋_GB2312" w:hAnsi="仿宋_GB2312" w:eastAsia="仿宋_GB2312" w:cs="仿宋_GB2312"/>
          <w:sz w:val="32"/>
          <w:szCs w:val="24"/>
          <w:lang w:val="en-US" w:eastAsia="zh-CN"/>
        </w:rPr>
        <w:t>2</w:t>
      </w:r>
      <w:r>
        <w:rPr>
          <w:rFonts w:hint="eastAsia" w:ascii="仿宋_GB2312" w:hAnsi="仿宋_GB2312" w:eastAsia="仿宋_GB2312" w:cs="仿宋_GB2312"/>
          <w:sz w:val="32"/>
          <w:szCs w:val="24"/>
        </w:rPr>
        <w:t xml:space="preserve"> 万元。具体内容见下表。</w:t>
      </w:r>
    </w:p>
    <w:p>
      <w:pPr>
        <w:outlineLvl w:val="0"/>
        <w:rPr>
          <w:rFonts w:hint="eastAsia" w:ascii="仿宋_GB2312" w:hAnsi="仿宋_GB2312" w:eastAsia="仿宋_GB2312" w:cs="仿宋_GB2312"/>
          <w:sz w:val="32"/>
          <w:szCs w:val="24"/>
        </w:rPr>
      </w:pPr>
    </w:p>
    <w:p>
      <w:pPr>
        <w:jc w:val="center"/>
        <w:outlineLvl w:val="0"/>
        <w:rPr>
          <w:rFonts w:hint="eastAsia" w:ascii="仿宋_GB2312" w:hAnsi="仿宋_GB2312" w:eastAsia="仿宋_GB2312" w:cs="仿宋_GB2312"/>
          <w:sz w:val="21"/>
          <w:szCs w:val="21"/>
        </w:rPr>
      </w:pPr>
      <w:r>
        <w:rPr>
          <w:rFonts w:hint="eastAsia" w:ascii="仿宋_GB2312" w:hAnsi="仿宋_GB2312" w:eastAsia="仿宋_GB2312" w:cs="仿宋_GB2312"/>
          <w:sz w:val="21"/>
          <w:szCs w:val="21"/>
        </w:rPr>
        <w:t>部门政府采购预算</w:t>
      </w:r>
      <w:bookmarkEnd w:id="3"/>
    </w:p>
    <w:tbl>
      <w:tblPr>
        <w:tblStyle w:val="12"/>
        <w:tblW w:w="14174" w:type="dxa"/>
        <w:tblInd w:w="0" w:type="dxa"/>
        <w:tblLayout w:type="fixed"/>
        <w:tblCellMar>
          <w:top w:w="0" w:type="dxa"/>
          <w:left w:w="108" w:type="dxa"/>
          <w:bottom w:w="0" w:type="dxa"/>
          <w:right w:w="108" w:type="dxa"/>
        </w:tblCellMar>
      </w:tblPr>
      <w:tblGrid>
        <w:gridCol w:w="2090"/>
        <w:gridCol w:w="1287"/>
        <w:gridCol w:w="899"/>
        <w:gridCol w:w="899"/>
        <w:gridCol w:w="899"/>
        <w:gridCol w:w="899"/>
        <w:gridCol w:w="904"/>
        <w:gridCol w:w="899"/>
        <w:gridCol w:w="899"/>
        <w:gridCol w:w="899"/>
        <w:gridCol w:w="899"/>
        <w:gridCol w:w="899"/>
        <w:gridCol w:w="901"/>
        <w:gridCol w:w="901"/>
      </w:tblGrid>
      <w:tr>
        <w:tblPrEx>
          <w:tblLayout w:type="fixed"/>
          <w:tblCellMar>
            <w:top w:w="0" w:type="dxa"/>
            <w:left w:w="108" w:type="dxa"/>
            <w:bottom w:w="0" w:type="dxa"/>
            <w:right w:w="108" w:type="dxa"/>
          </w:tblCellMar>
        </w:tblPrEx>
        <w:trPr>
          <w:trHeight w:val="90" w:hRule="atLeast"/>
        </w:trPr>
        <w:tc>
          <w:tcPr>
            <w:tcW w:w="7877" w:type="dxa"/>
            <w:gridSpan w:val="7"/>
            <w:tcBorders>
              <w:top w:val="single" w:color="FFFFFF" w:sz="8" w:space="0"/>
              <w:left w:val="single" w:color="FFFFFF" w:sz="8" w:space="0"/>
              <w:bottom w:val="nil"/>
              <w:right w:val="single" w:color="FFFFFF" w:sz="8"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sz w:val="21"/>
                <w:szCs w:val="21"/>
                <w:lang w:val="en-US" w:eastAsia="zh-CN"/>
              </w:rPr>
              <w:t>241002长安区档案馆</w:t>
            </w:r>
            <w:r>
              <w:rPr>
                <w:rFonts w:hint="eastAsia" w:ascii="仿宋_GB2312" w:hAnsi="仿宋_GB2312" w:eastAsia="仿宋_GB2312" w:cs="仿宋_GB2312"/>
                <w:b w:val="0"/>
                <w:bCs w:val="0"/>
                <w:color w:val="000000"/>
                <w:kern w:val="0"/>
                <w:sz w:val="21"/>
                <w:szCs w:val="21"/>
              </w:rPr>
              <w:t xml:space="preserve"> </w:t>
            </w:r>
          </w:p>
        </w:tc>
        <w:tc>
          <w:tcPr>
            <w:tcW w:w="6297" w:type="dxa"/>
            <w:gridSpan w:val="7"/>
            <w:tcBorders>
              <w:top w:val="single" w:color="FFFFFF" w:sz="8" w:space="0"/>
              <w:left w:val="nil"/>
              <w:bottom w:val="nil"/>
              <w:right w:val="single" w:color="FFFFFF" w:sz="8"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单位：万元</w:t>
            </w:r>
          </w:p>
        </w:tc>
      </w:tr>
      <w:tr>
        <w:tblPrEx>
          <w:tblLayout w:type="fixed"/>
          <w:tblCellMar>
            <w:top w:w="0" w:type="dxa"/>
            <w:left w:w="108" w:type="dxa"/>
            <w:bottom w:w="0" w:type="dxa"/>
            <w:right w:w="108" w:type="dxa"/>
          </w:tblCellMar>
        </w:tblPrEx>
        <w:trPr>
          <w:trHeight w:val="270" w:hRule="atLeast"/>
        </w:trPr>
        <w:tc>
          <w:tcPr>
            <w:tcW w:w="3377" w:type="dxa"/>
            <w:gridSpan w:val="2"/>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政府采购项目来源</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采购物品名称</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政府采购目录序号</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数量  单位</w:t>
            </w:r>
          </w:p>
        </w:tc>
        <w:tc>
          <w:tcPr>
            <w:tcW w:w="899"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数量</w:t>
            </w:r>
          </w:p>
        </w:tc>
        <w:tc>
          <w:tcPr>
            <w:tcW w:w="904" w:type="dxa"/>
            <w:vMerge w:val="restart"/>
            <w:tcBorders>
              <w:top w:val="single" w:color="000000" w:sz="4" w:space="0"/>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单价</w:t>
            </w:r>
          </w:p>
        </w:tc>
        <w:tc>
          <w:tcPr>
            <w:tcW w:w="6297" w:type="dxa"/>
            <w:gridSpan w:val="7"/>
            <w:tcBorders>
              <w:top w:val="single" w:color="000000" w:sz="4" w:space="0"/>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政府采购金额</w:t>
            </w:r>
          </w:p>
        </w:tc>
      </w:tr>
      <w:tr>
        <w:tblPrEx>
          <w:tblLayout w:type="fixed"/>
          <w:tblCellMar>
            <w:top w:w="0" w:type="dxa"/>
            <w:left w:w="108" w:type="dxa"/>
            <w:bottom w:w="0" w:type="dxa"/>
            <w:right w:w="108" w:type="dxa"/>
          </w:tblCellMar>
        </w:tblPrEx>
        <w:trPr>
          <w:trHeight w:val="270" w:hRule="atLeast"/>
        </w:trPr>
        <w:tc>
          <w:tcPr>
            <w:tcW w:w="2090" w:type="dxa"/>
            <w:vMerge w:val="restart"/>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项目名称</w:t>
            </w:r>
          </w:p>
        </w:tc>
        <w:tc>
          <w:tcPr>
            <w:tcW w:w="1287" w:type="dxa"/>
            <w:vMerge w:val="restart"/>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预算资金</w:t>
            </w: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restart"/>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总计</w:t>
            </w:r>
          </w:p>
        </w:tc>
        <w:tc>
          <w:tcPr>
            <w:tcW w:w="4497" w:type="dxa"/>
            <w:gridSpan w:val="5"/>
            <w:tcBorders>
              <w:top w:val="single" w:color="000000" w:sz="4" w:space="0"/>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当年部门预算安排资金</w:t>
            </w:r>
          </w:p>
        </w:tc>
        <w:tc>
          <w:tcPr>
            <w:tcW w:w="901" w:type="dxa"/>
            <w:vMerge w:val="restart"/>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其他渠道资金</w:t>
            </w:r>
          </w:p>
        </w:tc>
      </w:tr>
      <w:tr>
        <w:tblPrEx>
          <w:tblLayout w:type="fixed"/>
          <w:tblCellMar>
            <w:top w:w="0" w:type="dxa"/>
            <w:left w:w="108" w:type="dxa"/>
            <w:bottom w:w="0" w:type="dxa"/>
            <w:right w:w="108" w:type="dxa"/>
          </w:tblCellMar>
        </w:tblPrEx>
        <w:trPr>
          <w:trHeight w:val="1644" w:hRule="atLeast"/>
        </w:trPr>
        <w:tc>
          <w:tcPr>
            <w:tcW w:w="2090" w:type="dxa"/>
            <w:vMerge w:val="continue"/>
            <w:tcBorders>
              <w:top w:val="nil"/>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1287" w:type="dxa"/>
            <w:vMerge w:val="continue"/>
            <w:tcBorders>
              <w:top w:val="nil"/>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904" w:type="dxa"/>
            <w:vMerge w:val="continue"/>
            <w:tcBorders>
              <w:top w:val="single" w:color="000000" w:sz="4" w:space="0"/>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vMerge w:val="continue"/>
            <w:tcBorders>
              <w:top w:val="nil"/>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合计</w:t>
            </w:r>
          </w:p>
        </w:tc>
        <w:tc>
          <w:tcPr>
            <w:tcW w:w="899" w:type="dxa"/>
            <w:tcBorders>
              <w:top w:val="nil"/>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一般公共预算拨款</w:t>
            </w:r>
          </w:p>
        </w:tc>
        <w:tc>
          <w:tcPr>
            <w:tcW w:w="899" w:type="dxa"/>
            <w:tcBorders>
              <w:top w:val="nil"/>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基金预算拨款</w:t>
            </w:r>
          </w:p>
        </w:tc>
        <w:tc>
          <w:tcPr>
            <w:tcW w:w="899" w:type="dxa"/>
            <w:tcBorders>
              <w:top w:val="nil"/>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财政专户核拨</w:t>
            </w:r>
          </w:p>
        </w:tc>
        <w:tc>
          <w:tcPr>
            <w:tcW w:w="901" w:type="dxa"/>
            <w:tcBorders>
              <w:top w:val="nil"/>
              <w:left w:val="nil"/>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其他来源收入</w:t>
            </w:r>
          </w:p>
        </w:tc>
        <w:tc>
          <w:tcPr>
            <w:tcW w:w="901" w:type="dxa"/>
            <w:vMerge w:val="continue"/>
            <w:tcBorders>
              <w:top w:val="nil"/>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r>
      <w:tr>
        <w:tblPrEx>
          <w:tblLayout w:type="fixed"/>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合　计</w:t>
            </w:r>
          </w:p>
        </w:tc>
        <w:tc>
          <w:tcPr>
            <w:tcW w:w="1287"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lang w:val="en-US" w:eastAsia="zh-CN"/>
              </w:rPr>
              <w:t>2</w:t>
            </w: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r>
              <w:rPr>
                <w:rFonts w:hint="eastAsia" w:ascii="仿宋_GB2312" w:hAnsi="仿宋_GB2312" w:eastAsia="仿宋_GB2312" w:cs="仿宋_GB2312"/>
                <w:b w:val="0"/>
                <w:bCs w:val="0"/>
                <w:color w:val="000000"/>
                <w:kern w:val="0"/>
                <w:sz w:val="21"/>
                <w:szCs w:val="21"/>
                <w:lang w:eastAsia="zh-CN"/>
              </w:rPr>
              <w:t>空调</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r>
              <w:rPr>
                <w:rFonts w:hint="eastAsia" w:ascii="仿宋_GB2312" w:hAnsi="仿宋_GB2312" w:eastAsia="仿宋_GB2312" w:cs="仿宋_GB2312"/>
                <w:b w:val="0"/>
                <w:bCs w:val="0"/>
                <w:color w:val="000000"/>
                <w:kern w:val="0"/>
                <w:sz w:val="21"/>
                <w:szCs w:val="21"/>
                <w:lang w:val="en-US" w:eastAsia="zh-CN"/>
              </w:rPr>
              <w:t>1</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rPr>
            </w:pPr>
            <w:r>
              <w:rPr>
                <w:rFonts w:hint="eastAsia" w:ascii="仿宋_GB2312" w:hAnsi="仿宋_GB2312" w:eastAsia="仿宋_GB2312" w:cs="仿宋_GB2312"/>
                <w:b w:val="0"/>
                <w:bCs w:val="0"/>
                <w:color w:val="000000"/>
                <w:kern w:val="0"/>
                <w:sz w:val="21"/>
                <w:szCs w:val="21"/>
                <w:lang w:val="en-US" w:eastAsia="zh-CN"/>
              </w:rPr>
              <w:t>2</w:t>
            </w:r>
          </w:p>
        </w:tc>
        <w:tc>
          <w:tcPr>
            <w:tcW w:w="904"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eastAsia="zh-CN"/>
              </w:rPr>
            </w:pPr>
            <w:r>
              <w:rPr>
                <w:rFonts w:hint="eastAsia" w:ascii="仿宋_GB2312" w:hAnsi="仿宋_GB2312" w:eastAsia="仿宋_GB2312" w:cs="仿宋_GB2312"/>
                <w:b w:val="0"/>
                <w:bCs w:val="0"/>
                <w:color w:val="000000"/>
                <w:kern w:val="0"/>
                <w:sz w:val="21"/>
                <w:szCs w:val="21"/>
                <w:lang w:val="en-US" w:eastAsia="zh-CN"/>
              </w:rPr>
              <w:t>1</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eastAsia="zh-CN"/>
              </w:rPr>
            </w:pPr>
            <w:r>
              <w:rPr>
                <w:rFonts w:hint="eastAsia" w:ascii="仿宋_GB2312" w:hAnsi="仿宋_GB2312" w:eastAsia="仿宋_GB2312" w:cs="仿宋_GB2312"/>
                <w:b w:val="0"/>
                <w:bCs w:val="0"/>
                <w:color w:val="000000"/>
                <w:kern w:val="0"/>
                <w:sz w:val="21"/>
                <w:szCs w:val="21"/>
                <w:lang w:val="en-US" w:eastAsia="zh-CN"/>
              </w:rPr>
              <w:t>2</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eastAsia="zh-CN"/>
              </w:rPr>
            </w:pPr>
            <w:r>
              <w:rPr>
                <w:rFonts w:hint="eastAsia" w:ascii="仿宋_GB2312" w:hAnsi="仿宋_GB2312" w:eastAsia="仿宋_GB2312" w:cs="仿宋_GB2312"/>
                <w:b w:val="0"/>
                <w:bCs w:val="0"/>
                <w:color w:val="000000"/>
                <w:kern w:val="0"/>
                <w:sz w:val="21"/>
                <w:szCs w:val="21"/>
                <w:lang w:val="en-US" w:eastAsia="zh-CN"/>
              </w:rPr>
              <w:t>2</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eastAsia="zh-CN"/>
              </w:rPr>
            </w:pPr>
            <w:r>
              <w:rPr>
                <w:rFonts w:hint="eastAsia" w:ascii="仿宋_GB2312" w:hAnsi="仿宋_GB2312" w:eastAsia="仿宋_GB2312" w:cs="仿宋_GB2312"/>
                <w:b w:val="0"/>
                <w:bCs w:val="0"/>
                <w:color w:val="000000"/>
                <w:kern w:val="0"/>
                <w:sz w:val="21"/>
                <w:szCs w:val="21"/>
                <w:lang w:val="en-US" w:eastAsia="zh-CN"/>
              </w:rPr>
              <w:t>2</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lang w:val="en-US"/>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r>
      <w:tr>
        <w:tblPrEx>
          <w:tblLayout w:type="fixed"/>
          <w:tblCellMar>
            <w:top w:w="0" w:type="dxa"/>
            <w:left w:w="108" w:type="dxa"/>
            <w:bottom w:w="0" w:type="dxa"/>
            <w:right w:w="108" w:type="dxa"/>
          </w:tblCellMar>
        </w:tblPrEx>
        <w:trPr>
          <w:trHeight w:val="270" w:hRule="atLeast"/>
        </w:trPr>
        <w:tc>
          <w:tcPr>
            <w:tcW w:w="2090" w:type="dxa"/>
            <w:tcBorders>
              <w:top w:val="nil"/>
              <w:left w:val="single" w:color="000000" w:sz="4" w:space="0"/>
              <w:bottom w:val="single" w:color="000000" w:sz="4" w:space="0"/>
              <w:right w:val="single" w:color="000000" w:sz="4" w:space="0"/>
            </w:tcBorders>
            <w:vAlign w:val="center"/>
          </w:tcPr>
          <w:p>
            <w:pPr>
              <w:widowControl/>
              <w:jc w:val="center"/>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xml:space="preserve"> 小计</w:t>
            </w:r>
          </w:p>
        </w:tc>
        <w:tc>
          <w:tcPr>
            <w:tcW w:w="1287"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4"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r>
      <w:tr>
        <w:tblPrEx>
          <w:tblLayout w:type="fixed"/>
          <w:tblCellMar>
            <w:top w:w="0" w:type="dxa"/>
            <w:left w:w="108" w:type="dxa"/>
            <w:bottom w:w="0" w:type="dxa"/>
            <w:right w:w="108" w:type="dxa"/>
          </w:tblCellMar>
        </w:tblPrEx>
        <w:trPr>
          <w:trHeight w:val="510" w:hRule="atLeast"/>
        </w:trPr>
        <w:tc>
          <w:tcPr>
            <w:tcW w:w="2090" w:type="dxa"/>
            <w:tcBorders>
              <w:top w:val="nil"/>
              <w:left w:val="single" w:color="000000" w:sz="4" w:space="0"/>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1287"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lef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904"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899"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c>
          <w:tcPr>
            <w:tcW w:w="901" w:type="dxa"/>
            <w:tcBorders>
              <w:top w:val="nil"/>
              <w:left w:val="nil"/>
              <w:bottom w:val="single" w:color="000000" w:sz="4" w:space="0"/>
              <w:right w:val="single" w:color="000000" w:sz="4" w:space="0"/>
            </w:tcBorders>
            <w:vAlign w:val="center"/>
          </w:tcPr>
          <w:p>
            <w:pPr>
              <w:widowControl/>
              <w:jc w:val="right"/>
              <w:rPr>
                <w:rFonts w:hint="eastAsia" w:ascii="仿宋_GB2312" w:hAnsi="仿宋_GB2312" w:eastAsia="仿宋_GB2312" w:cs="仿宋_GB2312"/>
                <w:b w:val="0"/>
                <w:bCs w:val="0"/>
                <w:color w:val="000000"/>
                <w:kern w:val="0"/>
                <w:sz w:val="21"/>
                <w:szCs w:val="21"/>
              </w:rPr>
            </w:pPr>
            <w:r>
              <w:rPr>
                <w:rFonts w:hint="eastAsia" w:ascii="仿宋_GB2312" w:hAnsi="仿宋_GB2312" w:eastAsia="仿宋_GB2312" w:cs="仿宋_GB2312"/>
                <w:b w:val="0"/>
                <w:bCs w:val="0"/>
                <w:color w:val="000000"/>
                <w:kern w:val="0"/>
                <w:sz w:val="21"/>
                <w:szCs w:val="21"/>
              </w:rPr>
              <w:t>　</w:t>
            </w:r>
          </w:p>
        </w:tc>
      </w:tr>
    </w:tbl>
    <w:p>
      <w:pPr>
        <w:outlineLvl w:val="0"/>
        <w:rPr>
          <w:rFonts w:hint="eastAsia" w:ascii="方正小标宋_GBK" w:hAnsi="Times New Roman" w:eastAsia="方正小标宋_GBK"/>
          <w:sz w:val="32"/>
          <w:szCs w:val="24"/>
        </w:rPr>
      </w:pPr>
    </w:p>
    <w:p>
      <w:pPr>
        <w:autoSpaceDE w:val="0"/>
        <w:autoSpaceDN w:val="0"/>
        <w:adjustRightInd w:val="0"/>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七、国有资产信息</w:t>
      </w:r>
    </w:p>
    <w:p>
      <w:pPr>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lang w:eastAsia="zh-CN"/>
        </w:rPr>
        <w:t>石家庄市长安区档案馆</w:t>
      </w:r>
      <w:r>
        <w:rPr>
          <w:rFonts w:hint="eastAsia" w:ascii="仿宋_GB2312" w:hAnsi="仿宋_GB2312" w:eastAsia="仿宋_GB2312" w:cs="仿宋_GB2312"/>
          <w:sz w:val="32"/>
          <w:szCs w:val="32"/>
        </w:rPr>
        <w:t>上年末固定资产金额为</w:t>
      </w:r>
      <w:r>
        <w:rPr>
          <w:rFonts w:hint="eastAsia" w:ascii="仿宋_GB2312" w:hAnsi="仿宋_GB2312" w:eastAsia="仿宋_GB2312" w:cs="仿宋_GB2312"/>
          <w:sz w:val="32"/>
          <w:szCs w:val="32"/>
          <w:lang w:val="en-US" w:eastAsia="zh-CN"/>
        </w:rPr>
        <w:t>84.0256</w:t>
      </w:r>
      <w:r>
        <w:rPr>
          <w:rFonts w:hint="eastAsia" w:ascii="仿宋_GB2312" w:hAnsi="仿宋_GB2312" w:eastAsia="仿宋_GB2312" w:cs="仿宋_GB2312"/>
          <w:sz w:val="32"/>
          <w:szCs w:val="32"/>
        </w:rPr>
        <w:t>万元（详见下表），本年度各单位（处室）拟购置固定资产总额为</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万元，主要为空调，已列入政府采购预算，详见政府采购预算表。</w:t>
      </w:r>
    </w:p>
    <w:tbl>
      <w:tblPr>
        <w:tblStyle w:val="12"/>
        <w:tblW w:w="13482" w:type="dxa"/>
        <w:tblInd w:w="93" w:type="dxa"/>
        <w:tblLayout w:type="fixed"/>
        <w:tblCellMar>
          <w:top w:w="0" w:type="dxa"/>
          <w:left w:w="108" w:type="dxa"/>
          <w:bottom w:w="0" w:type="dxa"/>
          <w:right w:w="108" w:type="dxa"/>
        </w:tblCellMar>
      </w:tblPr>
      <w:tblGrid>
        <w:gridCol w:w="5224"/>
        <w:gridCol w:w="3155"/>
        <w:gridCol w:w="5103"/>
      </w:tblGrid>
      <w:tr>
        <w:tblPrEx>
          <w:tblLayout w:type="fixed"/>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shd w:val="clear" w:color="auto" w:fill="auto"/>
            <w:vAlign w:val="center"/>
          </w:tcPr>
          <w:p>
            <w:pPr>
              <w:widowControl/>
              <w:jc w:val="center"/>
              <w:rPr>
                <w:rFonts w:ascii="宋体" w:hAnsi="宋体" w:eastAsia="宋体" w:cs="宋体"/>
                <w:b/>
                <w:bCs/>
                <w:kern w:val="0"/>
                <w:sz w:val="32"/>
                <w:szCs w:val="32"/>
              </w:rPr>
            </w:pPr>
            <w:r>
              <w:rPr>
                <w:rFonts w:hint="eastAsia" w:ascii="仿宋_GB2312" w:hAnsi="仿宋_GB2312" w:eastAsia="仿宋_GB2312" w:cs="仿宋_GB2312"/>
                <w:b/>
                <w:bCs/>
                <w:kern w:val="0"/>
                <w:sz w:val="32"/>
                <w:szCs w:val="32"/>
                <w:lang w:eastAsia="zh-CN"/>
              </w:rPr>
              <w:t>石家庄市长安区区</w:t>
            </w:r>
            <w:r>
              <w:rPr>
                <w:rFonts w:hint="eastAsia" w:ascii="仿宋_GB2312" w:hAnsi="仿宋_GB2312" w:eastAsia="仿宋_GB2312" w:cs="仿宋_GB2312"/>
                <w:b/>
                <w:bCs/>
                <w:kern w:val="0"/>
                <w:sz w:val="32"/>
                <w:szCs w:val="32"/>
              </w:rPr>
              <w:t>直部门固定资产占用情况表</w:t>
            </w:r>
          </w:p>
        </w:tc>
      </w:tr>
      <w:tr>
        <w:tblPrEx>
          <w:tblLayout w:type="fixed"/>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shd w:val="clear" w:color="auto" w:fill="auto"/>
            <w:vAlign w:val="center"/>
          </w:tcPr>
          <w:p>
            <w:pPr>
              <w:widowControl/>
              <w:jc w:val="left"/>
              <w:rPr>
                <w:rFonts w:hint="eastAsia" w:ascii="仿宋_GB2312" w:hAnsi="仿宋_GB2312" w:eastAsia="仿宋_GB2312" w:cs="仿宋_GB2312"/>
                <w:kern w:val="0"/>
                <w:sz w:val="22"/>
                <w:lang w:eastAsia="zh-CN"/>
              </w:rPr>
            </w:pPr>
            <w:r>
              <w:rPr>
                <w:rFonts w:hint="eastAsia" w:ascii="仿宋_GB2312" w:hAnsi="仿宋_GB2312" w:eastAsia="仿宋_GB2312" w:cs="仿宋_GB2312"/>
                <w:kern w:val="0"/>
                <w:sz w:val="22"/>
              </w:rPr>
              <w:t>编制部门：河北省</w:t>
            </w:r>
            <w:r>
              <w:rPr>
                <w:rFonts w:hint="eastAsia" w:ascii="仿宋_GB2312" w:hAnsi="仿宋_GB2312" w:eastAsia="仿宋_GB2312" w:cs="仿宋_GB2312"/>
                <w:kern w:val="0"/>
                <w:sz w:val="22"/>
                <w:lang w:eastAsia="zh-CN"/>
              </w:rPr>
              <w:t>石家庄市长安区档案馆</w:t>
            </w:r>
          </w:p>
        </w:tc>
        <w:tc>
          <w:tcPr>
            <w:tcW w:w="5103" w:type="dxa"/>
            <w:tcBorders>
              <w:top w:val="nil"/>
              <w:left w:val="nil"/>
              <w:bottom w:val="nil"/>
              <w:right w:val="nil"/>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 xml:space="preserve">截止时间：2018年12月31日  </w:t>
            </w:r>
          </w:p>
        </w:tc>
      </w:tr>
      <w:tr>
        <w:tblPrEx>
          <w:tblLayout w:type="fixed"/>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kern w:val="0"/>
                <w:sz w:val="22"/>
              </w:rPr>
            </w:pPr>
            <w:r>
              <w:rPr>
                <w:rFonts w:hint="eastAsia" w:ascii="仿宋_GB2312" w:hAnsi="仿宋_GB2312" w:eastAsia="仿宋_GB2312" w:cs="仿宋_GB2312"/>
                <w:b/>
                <w:bCs/>
                <w:kern w:val="0"/>
                <w:sz w:val="22"/>
              </w:rPr>
              <w:t>项   目</w:t>
            </w:r>
          </w:p>
        </w:tc>
        <w:tc>
          <w:tcPr>
            <w:tcW w:w="3155"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kern w:val="0"/>
                <w:sz w:val="22"/>
              </w:rPr>
            </w:pPr>
            <w:r>
              <w:rPr>
                <w:rFonts w:hint="eastAsia" w:ascii="仿宋_GB2312" w:hAnsi="仿宋_GB2312" w:eastAsia="仿宋_GB2312" w:cs="仿宋_GB2312"/>
                <w:b/>
                <w:bCs/>
                <w:kern w:val="0"/>
                <w:sz w:val="22"/>
              </w:rPr>
              <w:t>数量</w:t>
            </w:r>
          </w:p>
        </w:tc>
        <w:tc>
          <w:tcPr>
            <w:tcW w:w="5103" w:type="dxa"/>
            <w:tcBorders>
              <w:top w:val="single" w:color="auto" w:sz="4" w:space="0"/>
              <w:left w:val="nil"/>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b/>
                <w:bCs/>
                <w:kern w:val="0"/>
                <w:sz w:val="22"/>
              </w:rPr>
            </w:pPr>
            <w:r>
              <w:rPr>
                <w:rFonts w:hint="eastAsia" w:ascii="仿宋_GB2312" w:hAnsi="仿宋_GB2312" w:eastAsia="仿宋_GB2312" w:cs="仿宋_GB2312"/>
                <w:b/>
                <w:bCs/>
                <w:kern w:val="0"/>
                <w:sz w:val="22"/>
              </w:rPr>
              <w:t>价值（金额单位：万元）</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资产总额</w:t>
            </w:r>
          </w:p>
        </w:tc>
        <w:tc>
          <w:tcPr>
            <w:tcW w:w="3155" w:type="dxa"/>
            <w:tcBorders>
              <w:top w:val="nil"/>
              <w:left w:val="nil"/>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w:t>
            </w:r>
          </w:p>
        </w:tc>
        <w:tc>
          <w:tcPr>
            <w:tcW w:w="5103" w:type="dxa"/>
            <w:tcBorders>
              <w:top w:val="nil"/>
              <w:left w:val="nil"/>
              <w:bottom w:val="single" w:color="auto" w:sz="4" w:space="0"/>
              <w:right w:val="single" w:color="auto" w:sz="4" w:space="0"/>
            </w:tcBorders>
            <w:shd w:val="clear" w:color="auto" w:fill="auto"/>
            <w:vAlign w:val="center"/>
          </w:tcPr>
          <w:p>
            <w:pPr>
              <w:widowControl/>
              <w:jc w:val="center"/>
              <w:rPr>
                <w:rFonts w:hint="eastAsia" w:ascii="仿宋_GB2312" w:hAnsi="仿宋_GB2312" w:eastAsia="仿宋_GB2312" w:cs="仿宋_GB2312"/>
                <w:kern w:val="0"/>
                <w:sz w:val="22"/>
                <w:lang w:val="en-US" w:eastAsia="zh-CN"/>
              </w:rPr>
            </w:pPr>
            <w:r>
              <w:rPr>
                <w:rFonts w:hint="eastAsia" w:ascii="仿宋_GB2312" w:hAnsi="仿宋_GB2312" w:eastAsia="仿宋_GB2312" w:cs="仿宋_GB2312"/>
                <w:kern w:val="0"/>
                <w:sz w:val="22"/>
                <w:lang w:val="en-US" w:eastAsia="zh-CN"/>
              </w:rPr>
              <w:t>84.0256</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1、房屋（平方米）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val="en-US" w:eastAsia="zh-CN"/>
              </w:rPr>
            </w:pPr>
            <w:r>
              <w:rPr>
                <w:rFonts w:hint="eastAsia" w:ascii="仿宋_GB2312" w:hAnsi="仿宋_GB2312" w:eastAsia="仿宋_GB2312" w:cs="仿宋_GB2312"/>
                <w:sz w:val="22"/>
                <w:lang w:val="en-US" w:eastAsia="zh-CN"/>
              </w:rPr>
              <w:t>900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val="en-US" w:eastAsia="zh-CN"/>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 xml:space="preserve">   其中：办公用房（平方米）</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val="en-US" w:eastAsia="zh-CN"/>
              </w:rPr>
            </w:pPr>
            <w:r>
              <w:rPr>
                <w:rFonts w:hint="eastAsia" w:ascii="仿宋_GB2312" w:hAnsi="仿宋_GB2312" w:eastAsia="仿宋_GB2312" w:cs="仿宋_GB2312"/>
                <w:sz w:val="22"/>
                <w:lang w:val="en-US" w:eastAsia="zh-CN"/>
              </w:rPr>
              <w:t>300</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rPr>
            </w:pP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2、车辆（台、辆）</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eastAsia="zh-CN"/>
              </w:rPr>
            </w:pPr>
            <w:r>
              <w:rPr>
                <w:rFonts w:hint="eastAsia" w:ascii="仿宋_GB2312" w:hAnsi="仿宋_GB2312" w:eastAsia="仿宋_GB2312" w:cs="仿宋_GB2312"/>
                <w:sz w:val="22"/>
                <w:lang w:val="en-US" w:eastAsia="zh-CN"/>
              </w:rPr>
              <w:t>1</w:t>
            </w: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val="en-US" w:eastAsia="zh-CN"/>
              </w:rPr>
            </w:pPr>
            <w:r>
              <w:rPr>
                <w:rFonts w:hint="eastAsia" w:ascii="仿宋_GB2312" w:hAnsi="仿宋_GB2312" w:eastAsia="仿宋_GB2312" w:cs="仿宋_GB2312"/>
                <w:sz w:val="22"/>
                <w:lang w:val="en-US" w:eastAsia="zh-CN"/>
              </w:rPr>
              <w:t>16.29</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3、单价在20万元以上的设备</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eastAsia="zh-CN"/>
              </w:rPr>
            </w:pPr>
            <w:r>
              <w:rPr>
                <w:rFonts w:hint="eastAsia" w:ascii="仿宋_GB2312" w:hAnsi="仿宋_GB2312" w:eastAsia="仿宋_GB2312" w:cs="仿宋_GB2312"/>
                <w:sz w:val="22"/>
                <w:lang w:val="en-US" w:eastAsia="zh-CN"/>
              </w:rPr>
              <w:t>0</w:t>
            </w:r>
          </w:p>
        </w:tc>
      </w:tr>
      <w:tr>
        <w:tblPrEx>
          <w:tblLayout w:type="fixed"/>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shd w:val="clear" w:color="auto" w:fill="auto"/>
            <w:vAlign w:val="center"/>
          </w:tcPr>
          <w:p>
            <w:pPr>
              <w:widowControl/>
              <w:jc w:val="left"/>
              <w:rPr>
                <w:rFonts w:hint="eastAsia" w:ascii="仿宋_GB2312" w:hAnsi="仿宋_GB2312" w:eastAsia="仿宋_GB2312" w:cs="仿宋_GB2312"/>
                <w:kern w:val="0"/>
                <w:sz w:val="22"/>
              </w:rPr>
            </w:pPr>
            <w:r>
              <w:rPr>
                <w:rFonts w:hint="eastAsia" w:ascii="仿宋_GB2312" w:hAnsi="仿宋_GB2312" w:eastAsia="仿宋_GB2312" w:cs="仿宋_GB2312"/>
                <w:kern w:val="0"/>
                <w:sz w:val="22"/>
              </w:rPr>
              <w:t>4、其他固定资产</w:t>
            </w:r>
          </w:p>
        </w:tc>
        <w:tc>
          <w:tcPr>
            <w:tcW w:w="3155"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rPr>
            </w:pPr>
          </w:p>
        </w:tc>
        <w:tc>
          <w:tcPr>
            <w:tcW w:w="5103" w:type="dxa"/>
            <w:tcBorders>
              <w:top w:val="nil"/>
              <w:left w:val="nil"/>
              <w:bottom w:val="single" w:color="auto" w:sz="4" w:space="0"/>
              <w:right w:val="single" w:color="auto" w:sz="4" w:space="0"/>
            </w:tcBorders>
            <w:shd w:val="clear" w:color="auto" w:fill="auto"/>
            <w:vAlign w:val="center"/>
          </w:tcPr>
          <w:p>
            <w:pPr>
              <w:jc w:val="center"/>
              <w:rPr>
                <w:rFonts w:hint="eastAsia" w:ascii="仿宋_GB2312" w:hAnsi="仿宋_GB2312" w:eastAsia="仿宋_GB2312" w:cs="仿宋_GB2312"/>
                <w:sz w:val="22"/>
                <w:lang w:val="en-US" w:eastAsia="zh-CN"/>
              </w:rPr>
            </w:pPr>
            <w:r>
              <w:rPr>
                <w:rFonts w:hint="eastAsia" w:ascii="仿宋_GB2312" w:hAnsi="仿宋_GB2312" w:eastAsia="仿宋_GB2312" w:cs="仿宋_GB2312"/>
                <w:sz w:val="22"/>
                <w:lang w:val="en-US" w:eastAsia="zh-CN"/>
              </w:rPr>
              <w:t>67.7756</w:t>
            </w:r>
          </w:p>
        </w:tc>
      </w:tr>
    </w:tbl>
    <w:p>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八、名词解释</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1、一般公共预算拨款收入：指</w:t>
      </w:r>
      <w:r>
        <w:rPr>
          <w:rFonts w:hint="eastAsia" w:ascii="仿宋" w:hAnsi="仿宋" w:eastAsia="仿宋" w:cs="仿宋"/>
          <w:sz w:val="32"/>
          <w:szCs w:val="32"/>
          <w:lang w:eastAsia="zh-CN"/>
        </w:rPr>
        <w:t>县</w:t>
      </w:r>
      <w:r>
        <w:rPr>
          <w:rFonts w:hint="eastAsia" w:ascii="仿宋" w:hAnsi="仿宋" w:eastAsia="仿宋" w:cs="仿宋"/>
          <w:sz w:val="32"/>
          <w:szCs w:val="32"/>
        </w:rPr>
        <w:t>级财政当年拨付的资金。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2、事业收入：指事业单位开展专业业务活动及辅助活动所取得的收入。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3、其他收入：指除“一般公共预算拨款收入”、“事业收入”等以外的收入。主要是按规定动用的租房收入、存款利息收入等。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4、基本支出：指为保障机构正常运转、完成日常工作任务而发生的人员支出和公用支出。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5、项目支出：指在基本支出之外为完成特定行政任务和事业发展目标所发生的支出。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6、上缴上级支出：指下级单位上缴上级的支出。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7、“三公”经费：纳入</w:t>
      </w:r>
      <w:r>
        <w:rPr>
          <w:rFonts w:hint="eastAsia" w:ascii="仿宋" w:hAnsi="仿宋" w:eastAsia="仿宋" w:cs="仿宋"/>
          <w:sz w:val="32"/>
          <w:szCs w:val="32"/>
          <w:lang w:eastAsia="zh-CN"/>
        </w:rPr>
        <w:t>区</w:t>
      </w:r>
      <w:r>
        <w:rPr>
          <w:rFonts w:hint="eastAsia" w:ascii="仿宋" w:hAnsi="仿宋" w:eastAsia="仿宋" w:cs="仿宋"/>
          <w:sz w:val="32"/>
          <w:szCs w:val="32"/>
        </w:rPr>
        <w:t>级财政预算管理的“三公”经费，是指</w:t>
      </w:r>
      <w:r>
        <w:rPr>
          <w:rFonts w:hint="eastAsia" w:ascii="仿宋" w:hAnsi="仿宋" w:eastAsia="仿宋" w:cs="仿宋"/>
          <w:sz w:val="32"/>
          <w:szCs w:val="32"/>
          <w:lang w:eastAsia="zh-CN"/>
        </w:rPr>
        <w:t>县</w:t>
      </w:r>
      <w:r>
        <w:rPr>
          <w:rFonts w:hint="eastAsia" w:ascii="仿宋" w:hAnsi="仿宋" w:eastAsia="仿宋" w:cs="仿宋"/>
          <w:sz w:val="32"/>
          <w:szCs w:val="32"/>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9、上年结转：指以前年度尚未完成、结转到本年仍按原规定用途继续使用的资金。</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10、事业单位经营支出：指事业单位在专业业务活动及其辅助活动之外开展非独立核算经营活动发生的支出。</w:t>
      </w:r>
    </w:p>
    <w:p>
      <w:pPr>
        <w:autoSpaceDE w:val="0"/>
        <w:autoSpaceDN w:val="0"/>
        <w:adjustRightInd w:val="0"/>
        <w:ind w:left="198"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九、其他需要说明的事项</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我部门无其他需要说明的事项。</w:t>
      </w:r>
    </w:p>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
    <w:panose1 w:val="02010609060101010101"/>
    <w:charset w:val="86"/>
    <w:family w:val="swiss"/>
    <w:pitch w:val="default"/>
    <w:sig w:usb0="800002BF" w:usb1="38CF7CFA" w:usb2="00000016" w:usb3="00000000" w:csb0="00040001" w:csb1="00000000"/>
  </w:font>
  <w:font w:name="仿宋_GB2312">
    <w:panose1 w:val="02010609030101010101"/>
    <w:charset w:val="86"/>
    <w:family w:val="swiss"/>
    <w:pitch w:val="default"/>
    <w:sig w:usb0="00000001" w:usb1="080E0000" w:usb2="00000000" w:usb3="00000000" w:csb0="00040000" w:csb1="00000000"/>
  </w:font>
  <w:font w:name="方正仿宋_GBK">
    <w:altName w:val="Arial Unicode MS"/>
    <w:panose1 w:val="00000000000000000000"/>
    <w:charset w:val="86"/>
    <w:family w:val="script"/>
    <w:pitch w:val="default"/>
    <w:sig w:usb0="00000000" w:usb1="00000000" w:usb2="00000010" w:usb3="00000000" w:csb0="00040000" w:csb1="00000000"/>
  </w:font>
  <w:font w:name="方正书宋_GBK">
    <w:altName w:val="Arial Unicode MS"/>
    <w:panose1 w:val="00000000000000000000"/>
    <w:charset w:val="86"/>
    <w:family w:val="script"/>
    <w:pitch w:val="default"/>
    <w:sig w:usb0="00000000" w:usb1="00000000" w:usb2="00000010" w:usb3="00000000" w:csb0="00040000" w:csb1="00000000"/>
  </w:font>
  <w:font w:name="方正小标宋_GBK">
    <w:altName w:val="Arial Unicode MS"/>
    <w:panose1 w:val="00000000000000000000"/>
    <w:charset w:val="86"/>
    <w:family w:val="script"/>
    <w:pitch w:val="default"/>
    <w:sig w:usb0="00000000" w:usb1="00000000" w:usb2="00000010" w:usb3="00000000" w:csb0="00040000" w:csb1="00000000"/>
  </w:font>
  <w:font w:name="Arial Unicode MS">
    <w:panose1 w:val="020B0604020202020204"/>
    <w:charset w:val="86"/>
    <w:family w:val="auto"/>
    <w:pitch w:val="default"/>
    <w:sig w:usb0="FFFFFFFF" w:usb1="E9FFFFFF" w:usb2="0000003F" w:usb3="00000000" w:csb0="603F01FF" w:csb1="FFFF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7C984593"/>
    <w:multiLevelType w:val="singleLevel"/>
    <w:tmpl w:val="7C984593"/>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F66032"/>
    <w:rsid w:val="00034786"/>
    <w:rsid w:val="00037AF6"/>
    <w:rsid w:val="00042F57"/>
    <w:rsid w:val="0006483E"/>
    <w:rsid w:val="00075D5F"/>
    <w:rsid w:val="0008102F"/>
    <w:rsid w:val="000B529B"/>
    <w:rsid w:val="000C3A19"/>
    <w:rsid w:val="001245BB"/>
    <w:rsid w:val="001251A3"/>
    <w:rsid w:val="00165294"/>
    <w:rsid w:val="001B4EF3"/>
    <w:rsid w:val="001F7873"/>
    <w:rsid w:val="00241FD4"/>
    <w:rsid w:val="00251B12"/>
    <w:rsid w:val="00296113"/>
    <w:rsid w:val="002A673A"/>
    <w:rsid w:val="002C07BE"/>
    <w:rsid w:val="002C5E13"/>
    <w:rsid w:val="002C62BC"/>
    <w:rsid w:val="002E0EB8"/>
    <w:rsid w:val="002F3E58"/>
    <w:rsid w:val="0030542C"/>
    <w:rsid w:val="00311B7A"/>
    <w:rsid w:val="00372FA3"/>
    <w:rsid w:val="003D417F"/>
    <w:rsid w:val="003F60E9"/>
    <w:rsid w:val="004248B8"/>
    <w:rsid w:val="00424943"/>
    <w:rsid w:val="0043175C"/>
    <w:rsid w:val="00437296"/>
    <w:rsid w:val="00451590"/>
    <w:rsid w:val="00451871"/>
    <w:rsid w:val="004631FC"/>
    <w:rsid w:val="004706DE"/>
    <w:rsid w:val="00472923"/>
    <w:rsid w:val="00496109"/>
    <w:rsid w:val="004B0C3A"/>
    <w:rsid w:val="004D5788"/>
    <w:rsid w:val="004E3066"/>
    <w:rsid w:val="004E74CD"/>
    <w:rsid w:val="00516E04"/>
    <w:rsid w:val="00565588"/>
    <w:rsid w:val="00572067"/>
    <w:rsid w:val="00573562"/>
    <w:rsid w:val="00590ECE"/>
    <w:rsid w:val="00592ADD"/>
    <w:rsid w:val="00614A29"/>
    <w:rsid w:val="00643AA7"/>
    <w:rsid w:val="00673D76"/>
    <w:rsid w:val="00674CD7"/>
    <w:rsid w:val="006854F0"/>
    <w:rsid w:val="006B1C4A"/>
    <w:rsid w:val="006B610D"/>
    <w:rsid w:val="006E49F5"/>
    <w:rsid w:val="007013C8"/>
    <w:rsid w:val="00717B1E"/>
    <w:rsid w:val="00753836"/>
    <w:rsid w:val="0075393C"/>
    <w:rsid w:val="00754592"/>
    <w:rsid w:val="00776C08"/>
    <w:rsid w:val="007C219A"/>
    <w:rsid w:val="007E1DA8"/>
    <w:rsid w:val="007F6C26"/>
    <w:rsid w:val="00813208"/>
    <w:rsid w:val="00827BFA"/>
    <w:rsid w:val="008334AE"/>
    <w:rsid w:val="00836FED"/>
    <w:rsid w:val="0083724E"/>
    <w:rsid w:val="00845CD2"/>
    <w:rsid w:val="00852B0D"/>
    <w:rsid w:val="00881692"/>
    <w:rsid w:val="00883D1A"/>
    <w:rsid w:val="008A25C2"/>
    <w:rsid w:val="008A6576"/>
    <w:rsid w:val="008B3CC5"/>
    <w:rsid w:val="008B52CD"/>
    <w:rsid w:val="008E4261"/>
    <w:rsid w:val="008F4662"/>
    <w:rsid w:val="00905D08"/>
    <w:rsid w:val="00922AEB"/>
    <w:rsid w:val="00925753"/>
    <w:rsid w:val="009425F4"/>
    <w:rsid w:val="00966C5C"/>
    <w:rsid w:val="00973104"/>
    <w:rsid w:val="00995BF0"/>
    <w:rsid w:val="009A16D5"/>
    <w:rsid w:val="009A353D"/>
    <w:rsid w:val="009B0B77"/>
    <w:rsid w:val="009B511E"/>
    <w:rsid w:val="00A44E3D"/>
    <w:rsid w:val="00A72D2E"/>
    <w:rsid w:val="00A74447"/>
    <w:rsid w:val="00A74CE5"/>
    <w:rsid w:val="00A911E7"/>
    <w:rsid w:val="00A939D9"/>
    <w:rsid w:val="00B07D9E"/>
    <w:rsid w:val="00B20712"/>
    <w:rsid w:val="00B43238"/>
    <w:rsid w:val="00B45DD3"/>
    <w:rsid w:val="00B52632"/>
    <w:rsid w:val="00B727A9"/>
    <w:rsid w:val="00B75216"/>
    <w:rsid w:val="00B91D52"/>
    <w:rsid w:val="00B9490F"/>
    <w:rsid w:val="00BA1ACD"/>
    <w:rsid w:val="00BD09F8"/>
    <w:rsid w:val="00CA7176"/>
    <w:rsid w:val="00CB3D48"/>
    <w:rsid w:val="00CB4665"/>
    <w:rsid w:val="00CC75B0"/>
    <w:rsid w:val="00CD2773"/>
    <w:rsid w:val="00CE143B"/>
    <w:rsid w:val="00D0024A"/>
    <w:rsid w:val="00D27003"/>
    <w:rsid w:val="00DB4A9B"/>
    <w:rsid w:val="00E167C7"/>
    <w:rsid w:val="00E2482E"/>
    <w:rsid w:val="00E73D47"/>
    <w:rsid w:val="00EC47F6"/>
    <w:rsid w:val="00EE156D"/>
    <w:rsid w:val="00EE65B8"/>
    <w:rsid w:val="00F149E2"/>
    <w:rsid w:val="00F66032"/>
    <w:rsid w:val="00F87C1E"/>
    <w:rsid w:val="00F958C2"/>
    <w:rsid w:val="011149DB"/>
    <w:rsid w:val="01516F44"/>
    <w:rsid w:val="03491ABC"/>
    <w:rsid w:val="037666CA"/>
    <w:rsid w:val="039B569E"/>
    <w:rsid w:val="043C7C8B"/>
    <w:rsid w:val="04411E61"/>
    <w:rsid w:val="06B215DE"/>
    <w:rsid w:val="071D620E"/>
    <w:rsid w:val="077F1472"/>
    <w:rsid w:val="08444A6B"/>
    <w:rsid w:val="086543FD"/>
    <w:rsid w:val="08E603A4"/>
    <w:rsid w:val="0B9A3081"/>
    <w:rsid w:val="0C1A4447"/>
    <w:rsid w:val="0C20021B"/>
    <w:rsid w:val="0C52254C"/>
    <w:rsid w:val="0D666FBF"/>
    <w:rsid w:val="0FCE13D1"/>
    <w:rsid w:val="114E394D"/>
    <w:rsid w:val="118A2B28"/>
    <w:rsid w:val="11B65B11"/>
    <w:rsid w:val="125450C8"/>
    <w:rsid w:val="126200CB"/>
    <w:rsid w:val="1376742E"/>
    <w:rsid w:val="151A004F"/>
    <w:rsid w:val="15E354E7"/>
    <w:rsid w:val="162B471C"/>
    <w:rsid w:val="17EE06A5"/>
    <w:rsid w:val="18DB63FE"/>
    <w:rsid w:val="192B69EC"/>
    <w:rsid w:val="1A245BFC"/>
    <w:rsid w:val="1B1D1C0D"/>
    <w:rsid w:val="1B5A0DDB"/>
    <w:rsid w:val="1BBA1535"/>
    <w:rsid w:val="1BDD45F3"/>
    <w:rsid w:val="1C6225D8"/>
    <w:rsid w:val="1D652E68"/>
    <w:rsid w:val="1EF0700C"/>
    <w:rsid w:val="1FE22D19"/>
    <w:rsid w:val="202D5584"/>
    <w:rsid w:val="202E6E4B"/>
    <w:rsid w:val="207D1042"/>
    <w:rsid w:val="20C56CA5"/>
    <w:rsid w:val="2168544F"/>
    <w:rsid w:val="21EA03E8"/>
    <w:rsid w:val="221E526A"/>
    <w:rsid w:val="23C00C0B"/>
    <w:rsid w:val="24934449"/>
    <w:rsid w:val="25C7595A"/>
    <w:rsid w:val="25D9377D"/>
    <w:rsid w:val="27140B39"/>
    <w:rsid w:val="27877CAA"/>
    <w:rsid w:val="29F4198B"/>
    <w:rsid w:val="2A3A2D7F"/>
    <w:rsid w:val="2AD50BCC"/>
    <w:rsid w:val="2B0250F0"/>
    <w:rsid w:val="2D8E591C"/>
    <w:rsid w:val="2DA13C72"/>
    <w:rsid w:val="2E9A2688"/>
    <w:rsid w:val="32324D17"/>
    <w:rsid w:val="32A311A0"/>
    <w:rsid w:val="340A0470"/>
    <w:rsid w:val="34FC295F"/>
    <w:rsid w:val="358800A4"/>
    <w:rsid w:val="36801CC7"/>
    <w:rsid w:val="38760A44"/>
    <w:rsid w:val="39425546"/>
    <w:rsid w:val="3A70664B"/>
    <w:rsid w:val="3C683D4E"/>
    <w:rsid w:val="3D20324C"/>
    <w:rsid w:val="3E0C585B"/>
    <w:rsid w:val="3E4873A4"/>
    <w:rsid w:val="3E827E1B"/>
    <w:rsid w:val="3FFF290D"/>
    <w:rsid w:val="402B6804"/>
    <w:rsid w:val="4141739C"/>
    <w:rsid w:val="414D170D"/>
    <w:rsid w:val="42C65AC3"/>
    <w:rsid w:val="42FE3487"/>
    <w:rsid w:val="43A9752E"/>
    <w:rsid w:val="43B63C9D"/>
    <w:rsid w:val="43D769D0"/>
    <w:rsid w:val="445F7B2F"/>
    <w:rsid w:val="468D1873"/>
    <w:rsid w:val="46B131EF"/>
    <w:rsid w:val="46FD3A4E"/>
    <w:rsid w:val="48F8673C"/>
    <w:rsid w:val="490640B7"/>
    <w:rsid w:val="4AED2615"/>
    <w:rsid w:val="4B715FC6"/>
    <w:rsid w:val="4BD9097F"/>
    <w:rsid w:val="4C915694"/>
    <w:rsid w:val="4CC45D38"/>
    <w:rsid w:val="4DD33027"/>
    <w:rsid w:val="4FEF7F40"/>
    <w:rsid w:val="51E02E47"/>
    <w:rsid w:val="546F762A"/>
    <w:rsid w:val="54FF319D"/>
    <w:rsid w:val="55720F73"/>
    <w:rsid w:val="567616F2"/>
    <w:rsid w:val="579F13D3"/>
    <w:rsid w:val="586E33DB"/>
    <w:rsid w:val="5ACD6D89"/>
    <w:rsid w:val="5C02654D"/>
    <w:rsid w:val="5C4A69F0"/>
    <w:rsid w:val="5D4F76E2"/>
    <w:rsid w:val="5FAB2CCD"/>
    <w:rsid w:val="601D73B6"/>
    <w:rsid w:val="60AD3311"/>
    <w:rsid w:val="60B46298"/>
    <w:rsid w:val="61534F27"/>
    <w:rsid w:val="62101222"/>
    <w:rsid w:val="622B65AD"/>
    <w:rsid w:val="63121677"/>
    <w:rsid w:val="63EF165F"/>
    <w:rsid w:val="64405C61"/>
    <w:rsid w:val="64D409CE"/>
    <w:rsid w:val="64F002BA"/>
    <w:rsid w:val="66BC4130"/>
    <w:rsid w:val="672C7CFD"/>
    <w:rsid w:val="677A51AE"/>
    <w:rsid w:val="679A1650"/>
    <w:rsid w:val="68FB46F7"/>
    <w:rsid w:val="6ACD3D56"/>
    <w:rsid w:val="6AD82216"/>
    <w:rsid w:val="6CF665D7"/>
    <w:rsid w:val="6F5B32FB"/>
    <w:rsid w:val="723D2A60"/>
    <w:rsid w:val="729A28DD"/>
    <w:rsid w:val="72D40224"/>
    <w:rsid w:val="747918F8"/>
    <w:rsid w:val="77CD189E"/>
    <w:rsid w:val="7834649F"/>
    <w:rsid w:val="78652BB5"/>
    <w:rsid w:val="7BA30003"/>
    <w:rsid w:val="7BF318E6"/>
    <w:rsid w:val="7D223ABD"/>
    <w:rsid w:val="7E2733D9"/>
    <w:rsid w:val="7ED42078"/>
    <w:rsid w:val="7EE9248E"/>
    <w:rsid w:val="7FB66939"/>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Calibri" w:hAnsi="Calibri"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39" w:semiHidden="0" w:name="toc 1"/>
    <w:lsdException w:qFormat="1" w:unhideWhenUsed="0" w:uiPriority="39"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semiHidden="0"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semiHidden="0" w:name="footnote reference"/>
    <w:lsdException w:uiPriority="99" w:name="annotation reference"/>
    <w:lsdException w:uiPriority="99" w:name="line number"/>
    <w:lsdException w:qFormat="1"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semiHidden="0"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8">
    <w:name w:val="Default Paragraph Font"/>
    <w:unhideWhenUsed/>
    <w:uiPriority w:val="1"/>
  </w:style>
  <w:style w:type="table" w:default="1" w:styleId="12">
    <w:name w:val="Normal Table"/>
    <w:unhideWhenUsed/>
    <w:qFormat/>
    <w:uiPriority w:val="99"/>
    <w:tblPr>
      <w:tblLayout w:type="fixed"/>
      <w:tblCellMar>
        <w:top w:w="0" w:type="dxa"/>
        <w:left w:w="108" w:type="dxa"/>
        <w:bottom w:w="0" w:type="dxa"/>
        <w:right w:w="108" w:type="dxa"/>
      </w:tblCellMar>
    </w:tblPr>
  </w:style>
  <w:style w:type="paragraph" w:styleId="2">
    <w:name w:val="Balloon Text"/>
    <w:basedOn w:val="1"/>
    <w:link w:val="15"/>
    <w:unhideWhenUsed/>
    <w:qFormat/>
    <w:uiPriority w:val="99"/>
    <w:rPr>
      <w:sz w:val="18"/>
      <w:szCs w:val="18"/>
    </w:rPr>
  </w:style>
  <w:style w:type="paragraph" w:styleId="3">
    <w:name w:val="footer"/>
    <w:basedOn w:val="1"/>
    <w:link w:val="14"/>
    <w:qFormat/>
    <w:uiPriority w:val="99"/>
    <w:pPr>
      <w:tabs>
        <w:tab w:val="center" w:pos="4153"/>
        <w:tab w:val="right" w:pos="8306"/>
      </w:tabs>
      <w:snapToGrid w:val="0"/>
      <w:jc w:val="left"/>
    </w:pPr>
    <w:rPr>
      <w:rFonts w:ascii="Times New Roman" w:hAnsi="Times New Roman" w:eastAsia="宋体" w:cs="Times New Roman"/>
      <w:sz w:val="18"/>
      <w:szCs w:val="18"/>
    </w:rPr>
  </w:style>
  <w:style w:type="paragraph" w:styleId="4">
    <w:name w:val="header"/>
    <w:basedOn w:val="1"/>
    <w:link w:val="13"/>
    <w:qFormat/>
    <w:uiPriority w:val="99"/>
    <w:pPr>
      <w:pBdr>
        <w:bottom w:val="single" w:color="auto" w:sz="6" w:space="1"/>
      </w:pBdr>
      <w:tabs>
        <w:tab w:val="center" w:pos="4153"/>
        <w:tab w:val="right" w:pos="8306"/>
      </w:tabs>
      <w:snapToGrid w:val="0"/>
      <w:jc w:val="center"/>
    </w:pPr>
    <w:rPr>
      <w:rFonts w:ascii="Times New Roman" w:hAnsi="Times New Roman" w:eastAsia="宋体" w:cs="Times New Roman"/>
      <w:sz w:val="18"/>
      <w:szCs w:val="18"/>
    </w:rPr>
  </w:style>
  <w:style w:type="paragraph" w:styleId="5">
    <w:name w:val="toc 1"/>
    <w:basedOn w:val="1"/>
    <w:next w:val="1"/>
    <w:qFormat/>
    <w:uiPriority w:val="39"/>
    <w:rPr>
      <w:rFonts w:ascii="Times New Roman" w:hAnsi="Times New Roman" w:eastAsia="宋体" w:cs="Times New Roman"/>
      <w:szCs w:val="24"/>
    </w:rPr>
  </w:style>
  <w:style w:type="paragraph" w:styleId="6">
    <w:name w:val="footnote text"/>
    <w:basedOn w:val="1"/>
    <w:link w:val="17"/>
    <w:unhideWhenUsed/>
    <w:qFormat/>
    <w:uiPriority w:val="99"/>
    <w:pPr>
      <w:snapToGrid w:val="0"/>
      <w:jc w:val="left"/>
    </w:pPr>
    <w:rPr>
      <w:rFonts w:ascii="Calibri" w:hAnsi="Calibri" w:eastAsia="宋体" w:cs="Times New Roman"/>
      <w:sz w:val="18"/>
      <w:szCs w:val="18"/>
    </w:rPr>
  </w:style>
  <w:style w:type="paragraph" w:styleId="7">
    <w:name w:val="toc 2"/>
    <w:basedOn w:val="1"/>
    <w:next w:val="1"/>
    <w:qFormat/>
    <w:uiPriority w:val="39"/>
    <w:pPr>
      <w:ind w:left="420" w:leftChars="200"/>
    </w:pPr>
    <w:rPr>
      <w:rFonts w:ascii="Times New Roman" w:hAnsi="Times New Roman" w:eastAsia="宋体" w:cs="Times New Roman"/>
      <w:szCs w:val="24"/>
    </w:rPr>
  </w:style>
  <w:style w:type="character" w:styleId="9">
    <w:name w:val="page number"/>
    <w:unhideWhenUsed/>
    <w:qFormat/>
    <w:uiPriority w:val="99"/>
  </w:style>
  <w:style w:type="character" w:styleId="10">
    <w:name w:val="Hyperlink"/>
    <w:unhideWhenUsed/>
    <w:qFormat/>
    <w:uiPriority w:val="99"/>
    <w:rPr>
      <w:color w:val="0000FF"/>
      <w:u w:val="single"/>
    </w:rPr>
  </w:style>
  <w:style w:type="character" w:styleId="11">
    <w:name w:val="footnote reference"/>
    <w:unhideWhenUsed/>
    <w:qFormat/>
    <w:uiPriority w:val="99"/>
    <w:rPr>
      <w:vertAlign w:val="superscript"/>
    </w:rPr>
  </w:style>
  <w:style w:type="character" w:customStyle="1" w:styleId="13">
    <w:name w:val="页眉 Char"/>
    <w:basedOn w:val="8"/>
    <w:link w:val="4"/>
    <w:qFormat/>
    <w:uiPriority w:val="99"/>
    <w:rPr>
      <w:rFonts w:ascii="Times New Roman" w:hAnsi="Times New Roman" w:eastAsia="宋体" w:cs="Times New Roman"/>
      <w:sz w:val="18"/>
      <w:szCs w:val="18"/>
    </w:rPr>
  </w:style>
  <w:style w:type="character" w:customStyle="1" w:styleId="14">
    <w:name w:val="页脚 Char"/>
    <w:basedOn w:val="8"/>
    <w:link w:val="3"/>
    <w:uiPriority w:val="99"/>
    <w:rPr>
      <w:rFonts w:ascii="Times New Roman" w:hAnsi="Times New Roman" w:eastAsia="宋体" w:cs="Times New Roman"/>
      <w:sz w:val="18"/>
      <w:szCs w:val="18"/>
    </w:rPr>
  </w:style>
  <w:style w:type="character" w:customStyle="1" w:styleId="15">
    <w:name w:val="批注框文本 Char"/>
    <w:basedOn w:val="8"/>
    <w:link w:val="2"/>
    <w:semiHidden/>
    <w:qFormat/>
    <w:uiPriority w:val="99"/>
    <w:rPr>
      <w:sz w:val="18"/>
      <w:szCs w:val="18"/>
    </w:rPr>
  </w:style>
  <w:style w:type="paragraph" w:customStyle="1" w:styleId="16">
    <w:name w:val="Default"/>
    <w:uiPriority w:val="0"/>
    <w:pPr>
      <w:widowControl w:val="0"/>
      <w:autoSpaceDE w:val="0"/>
      <w:autoSpaceDN w:val="0"/>
      <w:adjustRightInd w:val="0"/>
    </w:pPr>
    <w:rPr>
      <w:rFonts w:ascii="Times New Roman" w:hAnsi="Times New Roman" w:cs="Times New Roman" w:eastAsiaTheme="minorEastAsia"/>
      <w:color w:val="000000"/>
      <w:kern w:val="0"/>
      <w:sz w:val="24"/>
      <w:szCs w:val="24"/>
      <w:lang w:val="en-US" w:eastAsia="zh-CN" w:bidi="ar-SA"/>
    </w:rPr>
  </w:style>
  <w:style w:type="character" w:customStyle="1" w:styleId="17">
    <w:name w:val="脚注文本 Char"/>
    <w:basedOn w:val="8"/>
    <w:link w:val="6"/>
    <w:semiHidden/>
    <w:qFormat/>
    <w:uiPriority w:val="99"/>
    <w:rPr>
      <w:rFonts w:ascii="Calibri" w:hAnsi="Calibri" w:eastAsia="宋体" w:cs="Times New Roman"/>
      <w:sz w:val="18"/>
      <w:szCs w:val="18"/>
    </w:rPr>
  </w:style>
  <w:style w:type="paragraph" w:customStyle="1" w:styleId="18">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numbering" Target="numbering.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04425098-CEB7-4813-B90D-AE258FE74940}">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44</Pages>
  <Words>3066</Words>
  <Characters>17480</Characters>
  <Lines>145</Lines>
  <Paragraphs>41</Paragraphs>
  <TotalTime>0</TotalTime>
  <ScaleCrop>false</ScaleCrop>
  <LinksUpToDate>false</LinksUpToDate>
  <CharactersWithSpaces>20505</CharactersWithSpaces>
  <Application>WPS Office_10.8.2.6948_F1E327BC-269C-435d-A152-05C5408002CA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2019-01-15T00:52:00Z</dcterms:created>
  <dc:creator>guest</dc:creator>
  <cp:lastModifiedBy>lenovo</cp:lastModifiedBy>
  <cp:lastPrinted>2017-11-09T01:12:00Z</cp:lastPrinted>
  <dcterms:modified xsi:type="dcterms:W3CDTF">2021-07-10T05:03:06Z</dcterms:modified>
  <dc:title>河北省财政厅2019年部门预算信息公开情况说明</dc:title>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2052-10.8.2.6948</vt:lpwstr>
  </property>
</Properties>
</file>