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cs="Times New Roman"/>
          <w:sz w:val="44"/>
          <w:szCs w:val="44"/>
        </w:rPr>
      </w:pPr>
      <w:r>
        <w:rPr>
          <w:rFonts w:hint="eastAsia" w:ascii="Times New Roman" w:hAnsi="Times New Roman" w:eastAsia="方正小标宋_GBK"/>
          <w:sz w:val="44"/>
          <w:szCs w:val="44"/>
        </w:rPr>
        <w:t>石家庄市长安区社保局</w:t>
      </w:r>
      <w:r>
        <w:rPr>
          <w:rFonts w:ascii="Times New Roman" w:hAnsi="Times New Roman" w:eastAsia="方正小标宋_GBK" w:cs="Times New Roman"/>
          <w:sz w:val="44"/>
          <w:szCs w:val="44"/>
        </w:rPr>
        <w:t>201</w:t>
      </w:r>
      <w:r>
        <w:rPr>
          <w:rFonts w:hint="eastAsia" w:ascii="Times New Roman" w:hAnsi="Times New Roman" w:eastAsia="方正小标宋_GBK" w:cs="Times New Roman"/>
          <w:sz w:val="44"/>
          <w:szCs w:val="44"/>
        </w:rPr>
        <w:t>9</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w:t>
      </w:r>
      <w:bookmarkStart w:id="3" w:name="_GoBack"/>
      <w:bookmarkEnd w:id="3"/>
      <w:r>
        <w:rPr>
          <w:rFonts w:hint="eastAsia" w:ascii="仿宋" w:hAnsi="仿宋" w:eastAsia="仿宋" w:cs="仿宋"/>
          <w:sz w:val="32"/>
          <w:szCs w:val="32"/>
        </w:rPr>
        <w:t>预算法》、《地方预决算公开操作规程》和《河北省省级预算公开办法》规定，现将2019年部门预算公开如下：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3"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pPr>
        <w:autoSpaceDE w:val="0"/>
        <w:autoSpaceDN w:val="0"/>
        <w:adjustRightInd w:val="0"/>
        <w:ind w:left="198" w:firstLine="640" w:firstLineChars="200"/>
        <w:jc w:val="left"/>
        <w:rPr>
          <w:rFonts w:ascii="方正仿宋_GBK" w:hAnsi="Times New Roman" w:eastAsia="方正仿宋_GBK" w:cs="Times New Roman"/>
          <w:b/>
          <w:sz w:val="32"/>
          <w:szCs w:val="32"/>
        </w:rPr>
      </w:pPr>
      <w:r>
        <w:rPr>
          <w:rFonts w:hint="eastAsia" w:ascii="仿宋" w:hAnsi="仿宋" w:eastAsia="仿宋" w:cs="仿宋"/>
          <w:sz w:val="32"/>
          <w:szCs w:val="32"/>
        </w:rPr>
        <w:t>长安区社会劳动保险事业管理局系隶属于石家庄市长安区人民政府下设的行政事业单位，一是从事对辖区企业及个人养老保险基金、工伤保险基金、机关事业养老保险基金、机关事业工伤保险基金、城乡居民养老保险基金的注册登记、缴费申报、缴费基数核定、稽核、征缴及待遇支付业务，二是承担社会保险社会化管理和离退休人员的社会化服务工作，三是负责退休人员档案的管理工作。</w:t>
      </w:r>
    </w:p>
    <w:p>
      <w:pPr>
        <w:autoSpaceDE w:val="0"/>
        <w:autoSpaceDN w:val="0"/>
        <w:adjustRightInd w:val="0"/>
        <w:ind w:left="198" w:firstLine="643"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pPr>
        <w:ind w:firstLine="640" w:firstLineChars="200"/>
        <w:jc w:val="left"/>
        <w:outlineLvl w:val="0"/>
        <w:rPr>
          <w:rFonts w:ascii="仿宋_GB2312" w:hAnsi="Times New Roman" w:eastAsia="仿宋_GB2312"/>
          <w:sz w:val="32"/>
          <w:szCs w:val="24"/>
        </w:rPr>
      </w:pPr>
      <w:r>
        <w:rPr>
          <w:rFonts w:hint="eastAsia" w:ascii="仿宋_GB2312" w:hAnsi="Times New Roman" w:eastAsia="仿宋_GB2312"/>
          <w:sz w:val="32"/>
          <w:szCs w:val="24"/>
        </w:rPr>
        <w:t xml:space="preserve">长安区社会劳动保险事业管理局事业编制机构，财务独立核算。2019年编制数28人，实有人数59人，其中事业编制25人。 </w:t>
      </w:r>
    </w:p>
    <w:p>
      <w:pPr>
        <w:ind w:firstLine="640" w:firstLineChars="200"/>
        <w:jc w:val="left"/>
        <w:outlineLvl w:val="0"/>
        <w:rPr>
          <w:rFonts w:ascii="仿宋_GB2312" w:hAnsi="Times New Roman" w:eastAsia="仿宋_GB2312"/>
          <w:sz w:val="32"/>
          <w:szCs w:val="24"/>
        </w:rPr>
      </w:pPr>
      <w:r>
        <w:rPr>
          <w:rFonts w:hint="eastAsia" w:ascii="仿宋_GB2312" w:hAnsi="Times New Roman" w:eastAsia="仿宋_GB2312"/>
          <w:sz w:val="32"/>
          <w:szCs w:val="24"/>
        </w:rPr>
        <w:t>部门机构设置：1、养老征缴业务科2、养老待遇业务科3、工伤征缴业务科4、工伤待遇业务科 5、城居科6、机关事业科7、稽核科8、社管科9、档案中心10、信息中心11、办公室12、财务科。</w:t>
      </w:r>
    </w:p>
    <w:p>
      <w:pPr>
        <w:jc w:val="center"/>
        <w:outlineLvl w:val="0"/>
        <w:rPr>
          <w:rFonts w:ascii="Times New Roman" w:hAnsi="Times New Roman" w:eastAsia="方正小标宋_GBK"/>
          <w:sz w:val="32"/>
          <w:szCs w:val="24"/>
        </w:rPr>
      </w:pPr>
      <w:r>
        <w:rPr>
          <w:rFonts w:ascii="Times New Roman" w:hAnsi="Times New Roman" w:eastAsia="方正小标宋_GBK"/>
          <w:sz w:val="32"/>
          <w:szCs w:val="24"/>
        </w:rPr>
        <w:t>部门</w:t>
      </w:r>
      <w:r>
        <w:rPr>
          <w:rFonts w:hint="eastAsia" w:ascii="Times New Roman" w:hAnsi="Times New Roman" w:eastAsia="方正小标宋_GBK"/>
          <w:sz w:val="32"/>
          <w:szCs w:val="24"/>
        </w:rPr>
        <w:t>机构设置情况</w:t>
      </w:r>
    </w:p>
    <w:tbl>
      <w:tblPr>
        <w:tblStyle w:val="8"/>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shd w:val="clear" w:color="auto" w:fill="auto"/>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单位名称</w:t>
            </w:r>
          </w:p>
        </w:tc>
        <w:tc>
          <w:tcPr>
            <w:tcW w:w="1134" w:type="dxa"/>
            <w:vMerge w:val="restart"/>
            <w:shd w:val="clear" w:color="auto" w:fill="auto"/>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单位性质</w:t>
            </w:r>
          </w:p>
        </w:tc>
        <w:tc>
          <w:tcPr>
            <w:tcW w:w="1276" w:type="dxa"/>
            <w:vMerge w:val="restart"/>
            <w:shd w:val="clear" w:color="auto" w:fill="auto"/>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单位规格</w:t>
            </w:r>
          </w:p>
        </w:tc>
        <w:tc>
          <w:tcPr>
            <w:tcW w:w="2902" w:type="dxa"/>
            <w:vMerge w:val="restart"/>
            <w:shd w:val="clear" w:color="auto" w:fill="auto"/>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shd w:val="clear" w:color="auto" w:fill="auto"/>
            <w:vAlign w:val="center"/>
          </w:tcPr>
          <w:p>
            <w:pPr>
              <w:spacing w:line="300" w:lineRule="exact"/>
              <w:jc w:val="left"/>
              <w:outlineLvl w:val="0"/>
              <w:rPr>
                <w:rFonts w:ascii="Times New Roman" w:hAnsi="Times New Roman"/>
                <w:szCs w:val="24"/>
              </w:rPr>
            </w:pPr>
          </w:p>
        </w:tc>
        <w:tc>
          <w:tcPr>
            <w:tcW w:w="1134" w:type="dxa"/>
            <w:vMerge w:val="continue"/>
            <w:shd w:val="clear" w:color="auto" w:fill="auto"/>
            <w:vAlign w:val="center"/>
          </w:tcPr>
          <w:p>
            <w:pPr>
              <w:spacing w:line="300" w:lineRule="exact"/>
              <w:jc w:val="left"/>
              <w:outlineLvl w:val="0"/>
              <w:rPr>
                <w:rFonts w:ascii="Times New Roman" w:hAnsi="Times New Roman"/>
                <w:szCs w:val="24"/>
              </w:rPr>
            </w:pPr>
          </w:p>
        </w:tc>
        <w:tc>
          <w:tcPr>
            <w:tcW w:w="1276" w:type="dxa"/>
            <w:vMerge w:val="continue"/>
            <w:shd w:val="clear" w:color="auto" w:fill="auto"/>
            <w:vAlign w:val="center"/>
          </w:tcPr>
          <w:p>
            <w:pPr>
              <w:spacing w:line="300" w:lineRule="exact"/>
              <w:jc w:val="left"/>
              <w:outlineLvl w:val="0"/>
              <w:rPr>
                <w:rFonts w:ascii="Times New Roman" w:hAnsi="Times New Roman"/>
                <w:szCs w:val="24"/>
              </w:rPr>
            </w:pPr>
          </w:p>
        </w:tc>
        <w:tc>
          <w:tcPr>
            <w:tcW w:w="2902" w:type="dxa"/>
            <w:vMerge w:val="continue"/>
            <w:shd w:val="clear" w:color="auto" w:fill="auto"/>
            <w:vAlign w:val="center"/>
          </w:tcPr>
          <w:p>
            <w:pPr>
              <w:spacing w:line="300" w:lineRule="exact"/>
              <w:jc w:val="left"/>
              <w:outlineLvl w:val="0"/>
              <w:rPr>
                <w:rFonts w:ascii="Times New Roman" w:hAnsi="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shd w:val="clear" w:color="auto" w:fill="auto"/>
            <w:vAlign w:val="center"/>
          </w:tcPr>
          <w:p>
            <w:pPr>
              <w:spacing w:line="300" w:lineRule="exact"/>
              <w:jc w:val="left"/>
              <w:rPr>
                <w:rFonts w:ascii="仿宋" w:hAnsi="仿宋" w:eastAsia="仿宋"/>
                <w:szCs w:val="24"/>
              </w:rPr>
            </w:pPr>
            <w:r>
              <w:rPr>
                <w:rFonts w:hint="eastAsia" w:ascii="仿宋" w:hAnsi="仿宋" w:eastAsia="仿宋"/>
                <w:szCs w:val="24"/>
              </w:rPr>
              <w:t>长安区社会劳动保险事业管理局</w:t>
            </w:r>
          </w:p>
        </w:tc>
        <w:tc>
          <w:tcPr>
            <w:tcW w:w="1134" w:type="dxa"/>
            <w:shd w:val="clear" w:color="auto" w:fill="auto"/>
            <w:vAlign w:val="center"/>
          </w:tcPr>
          <w:p>
            <w:pPr>
              <w:spacing w:line="300" w:lineRule="exact"/>
              <w:jc w:val="left"/>
              <w:rPr>
                <w:rFonts w:ascii="仿宋" w:hAnsi="仿宋" w:eastAsia="仿宋"/>
                <w:szCs w:val="24"/>
              </w:rPr>
            </w:pPr>
            <w:r>
              <w:rPr>
                <w:rFonts w:hint="eastAsia" w:ascii="仿宋" w:hAnsi="仿宋" w:eastAsia="仿宋"/>
                <w:szCs w:val="24"/>
              </w:rPr>
              <w:t>全额事业</w:t>
            </w:r>
          </w:p>
        </w:tc>
        <w:tc>
          <w:tcPr>
            <w:tcW w:w="1276" w:type="dxa"/>
            <w:shd w:val="clear" w:color="auto" w:fill="auto"/>
            <w:vAlign w:val="center"/>
          </w:tcPr>
          <w:p>
            <w:pPr>
              <w:spacing w:line="300" w:lineRule="exact"/>
              <w:jc w:val="left"/>
              <w:rPr>
                <w:rFonts w:ascii="仿宋" w:hAnsi="仿宋" w:eastAsia="仿宋"/>
                <w:szCs w:val="24"/>
              </w:rPr>
            </w:pPr>
            <w:r>
              <w:rPr>
                <w:rFonts w:hint="eastAsia" w:ascii="仿宋" w:hAnsi="仿宋" w:eastAsia="仿宋"/>
                <w:szCs w:val="24"/>
              </w:rPr>
              <w:t>正科级</w:t>
            </w:r>
          </w:p>
        </w:tc>
        <w:tc>
          <w:tcPr>
            <w:tcW w:w="2902" w:type="dxa"/>
            <w:shd w:val="clear" w:color="auto" w:fill="auto"/>
            <w:vAlign w:val="center"/>
          </w:tcPr>
          <w:p>
            <w:pPr>
              <w:spacing w:line="300" w:lineRule="exact"/>
              <w:jc w:val="left"/>
              <w:rPr>
                <w:rFonts w:ascii="仿宋" w:hAnsi="仿宋" w:eastAsia="仿宋"/>
                <w:szCs w:val="24"/>
              </w:rPr>
            </w:pPr>
            <w:r>
              <w:rPr>
                <w:rFonts w:hint="eastAsia" w:ascii="仿宋" w:hAnsi="仿宋" w:eastAsia="仿宋"/>
              </w:rPr>
              <w:t>财政性资金基本保证</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仿宋_GB2312" w:hAnsi="Times New Roman" w:eastAsia="仿宋_GB2312"/>
          <w:sz w:val="32"/>
          <w:szCs w:val="32"/>
        </w:rPr>
      </w:pPr>
      <w:r>
        <w:rPr>
          <w:rFonts w:hint="eastAsia" w:ascii="仿宋_GB2312" w:hAnsi="Times New Roman" w:eastAsia="仿宋_GB2312"/>
          <w:sz w:val="32"/>
          <w:szCs w:val="32"/>
        </w:rPr>
        <w:t>按照预算管理有关规定，我部门预算的编制实行综合预算制度，即全部收入和支出都反映在预算中。</w:t>
      </w:r>
    </w:p>
    <w:p>
      <w:pPr>
        <w:ind w:firstLine="640" w:firstLineChars="200"/>
        <w:rPr>
          <w:rFonts w:ascii="仿宋" w:hAnsi="仿宋" w:eastAsia="仿宋" w:cs="仿宋"/>
          <w:sz w:val="32"/>
          <w:szCs w:val="32"/>
        </w:rPr>
      </w:pPr>
      <w:r>
        <w:rPr>
          <w:rFonts w:hint="eastAsia" w:ascii="仿宋" w:hAnsi="仿宋" w:eastAsia="仿宋" w:cs="仿宋"/>
          <w:sz w:val="32"/>
          <w:szCs w:val="32"/>
        </w:rPr>
        <w:t>1、收入说明</w:t>
      </w:r>
    </w:p>
    <w:p>
      <w:pPr>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反映本部门当年全部收入。2019年预算收入</w:t>
      </w:r>
      <w:r>
        <w:rPr>
          <w:rFonts w:ascii="仿宋" w:hAnsi="仿宋" w:eastAsia="仿宋" w:cs="仿宋"/>
          <w:sz w:val="32"/>
          <w:szCs w:val="32"/>
        </w:rPr>
        <w:t>5674.88</w:t>
      </w:r>
      <w:r>
        <w:rPr>
          <w:rFonts w:hint="eastAsia" w:ascii="仿宋" w:hAnsi="仿宋" w:eastAsia="仿宋" w:cs="仿宋"/>
          <w:sz w:val="32"/>
          <w:szCs w:val="32"/>
        </w:rPr>
        <w:t>万元，其中：一般公共预算收入</w:t>
      </w:r>
      <w:r>
        <w:rPr>
          <w:rFonts w:ascii="仿宋" w:hAnsi="仿宋" w:eastAsia="仿宋" w:cs="仿宋"/>
          <w:sz w:val="32"/>
          <w:szCs w:val="32"/>
        </w:rPr>
        <w:t>5674.88</w:t>
      </w:r>
      <w:r>
        <w:rPr>
          <w:rFonts w:hint="eastAsia" w:ascii="仿宋" w:hAnsi="仿宋" w:eastAsia="仿宋" w:cs="仿宋"/>
          <w:sz w:val="32"/>
          <w:szCs w:val="32"/>
        </w:rPr>
        <w:t>万元，基金预算收入0万元，财政专户核拨收入0万元，其他来源收入0万元。</w:t>
      </w:r>
    </w:p>
    <w:p>
      <w:pPr>
        <w:ind w:firstLine="640" w:firstLineChars="200"/>
        <w:rPr>
          <w:rFonts w:ascii="仿宋" w:hAnsi="仿宋" w:eastAsia="仿宋" w:cs="仿宋"/>
          <w:sz w:val="32"/>
          <w:szCs w:val="32"/>
        </w:rPr>
      </w:pPr>
      <w:r>
        <w:rPr>
          <w:rFonts w:hint="eastAsia" w:ascii="仿宋" w:hAnsi="仿宋" w:eastAsia="仿宋" w:cs="仿宋"/>
          <w:sz w:val="32"/>
          <w:szCs w:val="32"/>
        </w:rPr>
        <w:t>2、支出说明</w:t>
      </w:r>
    </w:p>
    <w:p>
      <w:pPr>
        <w:widowControl/>
        <w:rPr>
          <w:rFonts w:ascii="仿宋_GB2312" w:hAnsi="黑体" w:eastAsia="仿宋_GB2312"/>
          <w:sz w:val="32"/>
          <w:szCs w:val="32"/>
        </w:rPr>
      </w:pPr>
      <w:r>
        <w:rPr>
          <w:rFonts w:hint="eastAsia" w:ascii="仿宋_GB2312" w:hAnsi="黑体" w:eastAsia="仿宋_GB2312"/>
          <w:sz w:val="32"/>
          <w:szCs w:val="32"/>
        </w:rPr>
        <w:t xml:space="preserve">    2019年支出预算</w:t>
      </w:r>
      <w:r>
        <w:rPr>
          <w:rFonts w:ascii="仿宋_GB2312" w:hAnsi="黑体" w:eastAsia="仿宋_GB2312"/>
          <w:sz w:val="32"/>
          <w:szCs w:val="32"/>
        </w:rPr>
        <w:t>5674.88</w:t>
      </w:r>
      <w:r>
        <w:rPr>
          <w:rFonts w:hint="eastAsia" w:ascii="仿宋_GB2312" w:hAnsi="黑体" w:eastAsia="仿宋_GB2312"/>
          <w:sz w:val="32"/>
          <w:szCs w:val="32"/>
        </w:rPr>
        <w:t>万元，其中基本支出</w:t>
      </w:r>
      <w:r>
        <w:rPr>
          <w:rFonts w:ascii="仿宋_GB2312" w:hAnsi="黑体" w:eastAsia="仿宋_GB2312"/>
          <w:sz w:val="32"/>
          <w:szCs w:val="32"/>
        </w:rPr>
        <w:t>440.76</w:t>
      </w:r>
      <w:r>
        <w:rPr>
          <w:rFonts w:hint="eastAsia" w:ascii="仿宋_GB2312" w:hAnsi="黑体" w:eastAsia="仿宋_GB2312"/>
          <w:sz w:val="32"/>
          <w:szCs w:val="32"/>
        </w:rPr>
        <w:t>万元，包括人员经费</w:t>
      </w:r>
      <w:r>
        <w:rPr>
          <w:rFonts w:ascii="仿宋_GB2312" w:hAnsi="黑体" w:eastAsia="仿宋_GB2312"/>
          <w:sz w:val="32"/>
          <w:szCs w:val="32"/>
        </w:rPr>
        <w:t>418.64</w:t>
      </w:r>
      <w:r>
        <w:rPr>
          <w:rFonts w:hint="eastAsia" w:ascii="仿宋_GB2312" w:hAnsi="黑体" w:eastAsia="仿宋_GB2312"/>
          <w:sz w:val="32"/>
          <w:szCs w:val="32"/>
        </w:rPr>
        <w:t>万元和日常公用经费</w:t>
      </w:r>
      <w:r>
        <w:rPr>
          <w:rFonts w:ascii="仿宋_GB2312" w:hAnsi="黑体" w:eastAsia="仿宋_GB2312"/>
          <w:sz w:val="32"/>
          <w:szCs w:val="32"/>
        </w:rPr>
        <w:t>22.12</w:t>
      </w:r>
      <w:r>
        <w:rPr>
          <w:rFonts w:hint="eastAsia" w:ascii="仿宋_GB2312" w:hAnsi="黑体" w:eastAsia="仿宋_GB2312"/>
          <w:sz w:val="32"/>
          <w:szCs w:val="32"/>
        </w:rPr>
        <w:t>万元；项目支出</w:t>
      </w:r>
      <w:r>
        <w:rPr>
          <w:rFonts w:ascii="仿宋_GB2312" w:hAnsi="黑体" w:eastAsia="仿宋_GB2312"/>
          <w:sz w:val="32"/>
          <w:szCs w:val="32"/>
        </w:rPr>
        <w:t>5234.12</w:t>
      </w:r>
      <w:r>
        <w:rPr>
          <w:rFonts w:hint="eastAsia" w:ascii="仿宋_GB2312" w:hAnsi="黑体" w:eastAsia="仿宋_GB2312"/>
          <w:sz w:val="32"/>
          <w:szCs w:val="32"/>
        </w:rPr>
        <w:t>万元，包括企业养老保险扩面经费</w:t>
      </w:r>
      <w:r>
        <w:rPr>
          <w:rFonts w:ascii="仿宋_GB2312" w:hAnsi="黑体" w:eastAsia="仿宋_GB2312"/>
          <w:sz w:val="32"/>
          <w:szCs w:val="32"/>
        </w:rPr>
        <w:t>86.58</w:t>
      </w:r>
      <w:r>
        <w:rPr>
          <w:rFonts w:hint="eastAsia" w:ascii="仿宋_GB2312" w:hAnsi="黑体" w:eastAsia="仿宋_GB2312"/>
          <w:sz w:val="32"/>
          <w:szCs w:val="32"/>
        </w:rPr>
        <w:t>万元，机关事业养老保险试点制度财政补助</w:t>
      </w:r>
      <w:r>
        <w:rPr>
          <w:rFonts w:ascii="仿宋_GB2312" w:hAnsi="黑体" w:eastAsia="仿宋_GB2312"/>
          <w:sz w:val="32"/>
          <w:szCs w:val="32"/>
        </w:rPr>
        <w:t>600</w:t>
      </w:r>
      <w:r>
        <w:rPr>
          <w:rFonts w:hint="eastAsia" w:ascii="仿宋_GB2312" w:hAnsi="黑体" w:eastAsia="仿宋_GB2312"/>
          <w:sz w:val="32"/>
          <w:szCs w:val="32"/>
        </w:rPr>
        <w:t>万元，机关事业养老保险改革制度财政补助2000万元，城乡居民养老保险中央财政补助</w:t>
      </w:r>
      <w:r>
        <w:rPr>
          <w:rFonts w:ascii="仿宋_GB2312" w:hAnsi="黑体" w:eastAsia="仿宋_GB2312"/>
          <w:sz w:val="32"/>
          <w:szCs w:val="32"/>
        </w:rPr>
        <w:t>1948</w:t>
      </w:r>
      <w:r>
        <w:rPr>
          <w:rFonts w:hint="eastAsia" w:ascii="仿宋_GB2312" w:hAnsi="黑体" w:eastAsia="仿宋_GB2312"/>
          <w:sz w:val="32"/>
          <w:szCs w:val="32"/>
        </w:rPr>
        <w:t>万元，城乡居民养老保险省级财政补助</w:t>
      </w:r>
      <w:r>
        <w:rPr>
          <w:rFonts w:ascii="仿宋_GB2312" w:hAnsi="黑体" w:eastAsia="仿宋_GB2312"/>
          <w:sz w:val="32"/>
          <w:szCs w:val="32"/>
        </w:rPr>
        <w:t>402</w:t>
      </w:r>
      <w:r>
        <w:rPr>
          <w:rFonts w:hint="eastAsia" w:ascii="仿宋_GB2312" w:hAnsi="黑体" w:eastAsia="仿宋_GB2312"/>
          <w:sz w:val="32"/>
          <w:szCs w:val="32"/>
        </w:rPr>
        <w:t>万元，城乡居民养老保险市级财政补助</w:t>
      </w:r>
      <w:r>
        <w:rPr>
          <w:rFonts w:ascii="仿宋_GB2312" w:hAnsi="黑体" w:eastAsia="仿宋_GB2312"/>
          <w:sz w:val="32"/>
          <w:szCs w:val="32"/>
        </w:rPr>
        <w:t>57</w:t>
      </w:r>
      <w:r>
        <w:rPr>
          <w:rFonts w:hint="eastAsia" w:ascii="仿宋_GB2312" w:hAnsi="黑体" w:eastAsia="仿宋_GB2312"/>
          <w:sz w:val="32"/>
          <w:szCs w:val="32"/>
        </w:rPr>
        <w:t>万元，城乡居民养老保险区级财政补助</w:t>
      </w:r>
      <w:r>
        <w:rPr>
          <w:rFonts w:ascii="仿宋_GB2312" w:hAnsi="黑体" w:eastAsia="仿宋_GB2312"/>
          <w:sz w:val="32"/>
          <w:szCs w:val="32"/>
        </w:rPr>
        <w:t>51.11</w:t>
      </w:r>
      <w:r>
        <w:rPr>
          <w:rFonts w:hint="eastAsia" w:ascii="仿宋_GB2312" w:hAnsi="黑体" w:eastAsia="仿宋_GB2312"/>
          <w:sz w:val="32"/>
          <w:szCs w:val="32"/>
        </w:rPr>
        <w:t>万元，城乡居民养老保险个人缴费区级财政补助</w:t>
      </w:r>
      <w:r>
        <w:rPr>
          <w:rFonts w:ascii="仿宋_GB2312" w:hAnsi="黑体" w:eastAsia="仿宋_GB2312"/>
          <w:sz w:val="32"/>
          <w:szCs w:val="32"/>
        </w:rPr>
        <w:t>28.50</w:t>
      </w:r>
      <w:r>
        <w:rPr>
          <w:rFonts w:hint="eastAsia" w:ascii="仿宋_GB2312" w:hAnsi="黑体" w:eastAsia="仿宋_GB2312"/>
          <w:sz w:val="32"/>
          <w:szCs w:val="32"/>
        </w:rPr>
        <w:t>万元，社会化管理服务经费</w:t>
      </w:r>
      <w:r>
        <w:rPr>
          <w:rFonts w:ascii="仿宋_GB2312" w:hAnsi="黑体" w:eastAsia="仿宋_GB2312"/>
          <w:sz w:val="32"/>
          <w:szCs w:val="32"/>
        </w:rPr>
        <w:t>60.92</w:t>
      </w:r>
      <w:r>
        <w:rPr>
          <w:rFonts w:hint="eastAsia" w:ascii="仿宋_GB2312" w:hAnsi="黑体" w:eastAsia="仿宋_GB2312"/>
          <w:sz w:val="32"/>
          <w:szCs w:val="32"/>
        </w:rPr>
        <w:t>万元。</w:t>
      </w:r>
    </w:p>
    <w:p>
      <w:pPr>
        <w:ind w:firstLine="640" w:firstLineChars="200"/>
        <w:rPr>
          <w:rFonts w:ascii="仿宋" w:hAnsi="仿宋" w:eastAsia="仿宋" w:cs="仿宋"/>
          <w:sz w:val="32"/>
          <w:szCs w:val="32"/>
        </w:rPr>
      </w:pPr>
      <w:r>
        <w:rPr>
          <w:rFonts w:hint="eastAsia" w:ascii="仿宋" w:hAnsi="仿宋" w:eastAsia="仿宋" w:cs="仿宋"/>
          <w:sz w:val="32"/>
          <w:szCs w:val="32"/>
        </w:rPr>
        <w:t>3、比上年增减情况</w:t>
      </w:r>
    </w:p>
    <w:p>
      <w:pPr>
        <w:autoSpaceDE w:val="0"/>
        <w:autoSpaceDN w:val="0"/>
        <w:adjustRightInd w:val="0"/>
        <w:ind w:left="198" w:firstLine="640" w:firstLineChars="200"/>
        <w:jc w:val="left"/>
        <w:rPr>
          <w:rFonts w:ascii="仿宋" w:hAnsi="仿宋" w:eastAsia="仿宋" w:cs="仿宋"/>
          <w:sz w:val="32"/>
          <w:szCs w:val="32"/>
        </w:rPr>
      </w:pPr>
      <w:r>
        <w:rPr>
          <w:rFonts w:hint="eastAsia" w:ascii="仿宋" w:hAnsi="仿宋" w:eastAsia="仿宋" w:cs="仿宋"/>
          <w:sz w:val="32"/>
          <w:szCs w:val="32"/>
        </w:rPr>
        <w:t>2019年预算收支安排</w:t>
      </w:r>
      <w:r>
        <w:rPr>
          <w:rFonts w:ascii="仿宋" w:hAnsi="仿宋" w:eastAsia="仿宋" w:cs="仿宋"/>
          <w:sz w:val="32"/>
          <w:szCs w:val="32"/>
        </w:rPr>
        <w:t>5674.88</w:t>
      </w:r>
      <w:r>
        <w:rPr>
          <w:rFonts w:hint="eastAsia" w:ascii="仿宋" w:hAnsi="仿宋" w:eastAsia="仿宋" w:cs="仿宋"/>
          <w:sz w:val="32"/>
          <w:szCs w:val="32"/>
        </w:rPr>
        <w:t>万元，较2018年预算减少18525.49万元，其中基本支出增加59.73万元，主要为人员经费涨幅。项目支出减少18585.22万元，主要为：一是机关事业核心业务已于上年全面启动，现已有正常征缴收入，收支差降低。原由财政发放待遇退休人员转入社保开支，可实现收支替代。二是今年未列支企业养老保险区级财政补助。</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仿宋_GB2312" w:hAnsi="Times New Roman" w:eastAsia="仿宋_GB2312"/>
          <w:sz w:val="32"/>
          <w:szCs w:val="32"/>
        </w:rPr>
      </w:pPr>
      <w:r>
        <w:rPr>
          <w:rFonts w:hint="eastAsia" w:ascii="仿宋_GB2312" w:hAnsi="Times New Roman" w:eastAsia="仿宋_GB2312"/>
          <w:sz w:val="32"/>
          <w:szCs w:val="32"/>
        </w:rPr>
        <w:t>机关运行经费安排</w:t>
      </w:r>
      <w:r>
        <w:rPr>
          <w:rFonts w:ascii="仿宋_GB2312" w:hAnsi="Times New Roman" w:eastAsia="仿宋_GB2312"/>
          <w:sz w:val="32"/>
          <w:szCs w:val="32"/>
        </w:rPr>
        <w:t>22.12</w:t>
      </w:r>
      <w:r>
        <w:rPr>
          <w:rFonts w:hint="eastAsia" w:ascii="仿宋_GB2312" w:hAnsi="Times New Roman" w:eastAsia="仿宋_GB2312"/>
          <w:sz w:val="32"/>
          <w:szCs w:val="32"/>
        </w:rPr>
        <w:t>万元，主要用于为保障本单日常管理正常运行，用于购买货物和服务的各项资金，包括办公及印刷费、邮电费、差旅费、会议费、福利费、日常维修费、专用材料及一般设备购置费、办公用房水电费、办公用房取暖费、办公用房物业管理费、公务用车运行维护费及其他费用。</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rPr>
          <w:rFonts w:ascii="仿宋" w:hAnsi="仿宋" w:eastAsia="仿宋" w:cs="仿宋"/>
          <w:sz w:val="32"/>
          <w:szCs w:val="32"/>
        </w:rPr>
      </w:pPr>
      <w:r>
        <w:rPr>
          <w:rFonts w:hint="eastAsia" w:ascii="仿宋" w:hAnsi="仿宋" w:eastAsia="仿宋" w:cs="仿宋"/>
          <w:sz w:val="32"/>
          <w:szCs w:val="32"/>
        </w:rPr>
        <w:t>2019年，我局财政拨款“三公”经费预算安排2.4万元，其中因公出国（境）费0万元；公务用车购置及运行费2.4万元（其中：公务用车购置费为0万元，公务用车运行费2.4万元）；公务接待费0万元。本着厉行节约的精神与2018年相比略有降低。</w:t>
      </w:r>
    </w:p>
    <w:p>
      <w:pPr>
        <w:ind w:firstLine="640"/>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643" w:firstLineChars="200"/>
        <w:jc w:val="left"/>
        <w:rPr>
          <w:rFonts w:ascii="Times New Roman" w:hAnsi="Times New Roman" w:eastAsia="方正仿宋_GBK" w:cs="Times New Roman"/>
          <w:b/>
          <w:sz w:val="32"/>
          <w:szCs w:val="32"/>
        </w:rPr>
      </w:pPr>
      <w:bookmarkStart w:id="0" w:name="_Toc471398463"/>
      <w:r>
        <w:rPr>
          <w:rFonts w:ascii="Times New Roman" w:hAnsi="Times New Roman" w:eastAsia="方正仿宋_GBK" w:cs="Times New Roman"/>
          <w:b/>
          <w:sz w:val="32"/>
          <w:szCs w:val="32"/>
        </w:rPr>
        <w:t>总体绩效目标：</w:t>
      </w:r>
    </w:p>
    <w:p>
      <w:pPr>
        <w:ind w:firstLine="640" w:firstLineChars="200"/>
        <w:jc w:val="left"/>
        <w:rPr>
          <w:rFonts w:ascii="仿宋_GB2312" w:hAnsi="Times New Roman" w:eastAsia="仿宋_GB2312"/>
          <w:sz w:val="32"/>
          <w:szCs w:val="32"/>
        </w:rPr>
      </w:pPr>
      <w:r>
        <w:rPr>
          <w:rFonts w:hint="eastAsia" w:ascii="仿宋_GB2312" w:hAnsi="Times New Roman" w:eastAsia="仿宋_GB2312"/>
          <w:sz w:val="32"/>
          <w:szCs w:val="32"/>
        </w:rPr>
        <w:t>贯彻执行国家和省、市制定的各项社会保险法律、法规和政策规定；直接经办辖区单位的社会保险登记；审核社会保险缴费申报；办理社会保险关系的建立、中断、转移、接续和终止工作；审核各项社会保险待遇及支付工作；负责管理辖区内参保单位的各项社会保险缴费记录、档案和</w:t>
      </w:r>
      <w:r>
        <w:rPr>
          <w:rFonts w:hint="eastAsia" w:ascii="仿宋_GB2312" w:hAnsi="Times New Roman" w:eastAsia="仿宋_GB2312"/>
          <w:sz w:val="32"/>
          <w:szCs w:val="32"/>
          <w:lang w:eastAsia="zh-CN"/>
        </w:rPr>
        <w:t>个人账户</w:t>
      </w:r>
      <w:r>
        <w:rPr>
          <w:rFonts w:hint="eastAsia" w:ascii="仿宋_GB2312" w:hAnsi="Times New Roman" w:eastAsia="仿宋_GB2312"/>
          <w:sz w:val="32"/>
          <w:szCs w:val="32"/>
        </w:rPr>
        <w:t>的信息资料；参与养老保险宣传工作，拟定养老保险宣传具体计划。</w:t>
      </w:r>
    </w:p>
    <w:p>
      <w:pPr>
        <w:ind w:firstLine="640" w:firstLineChars="200"/>
        <w:jc w:val="left"/>
        <w:rPr>
          <w:rFonts w:ascii="Times New Roman" w:hAnsi="Times New Roman" w:eastAsia="方正仿宋_GBK"/>
          <w:b/>
          <w:sz w:val="32"/>
          <w:szCs w:val="32"/>
        </w:rPr>
      </w:pPr>
      <w:r>
        <w:rPr>
          <w:rFonts w:hint="eastAsia" w:ascii="仿宋_GB2312" w:hAnsi="Times New Roman" w:eastAsia="仿宋_GB2312"/>
          <w:sz w:val="32"/>
          <w:szCs w:val="32"/>
        </w:rPr>
        <w:t>贯彻政策执行，加强养老金征缴管理、工伤保险征缴管理、城乡居民征缴管理、机关事业养老、工伤征缴管理，以及各项基金待遇支出，以及确保各项待遇按时足额发放为宗旨，以提高统筹层次为目标，有效快捷地建立企业养老基金收支挂钩机制。促进我区养老、工伤基金增收节支，实现养老保险制度的可持续发展目标。</w:t>
      </w:r>
    </w:p>
    <w:p>
      <w:pPr>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职责分类绩效目标：</w:t>
      </w:r>
    </w:p>
    <w:p>
      <w:pPr>
        <w:ind w:firstLine="640" w:firstLineChars="200"/>
        <w:rPr>
          <w:rFonts w:ascii="仿宋" w:hAnsi="仿宋" w:eastAsia="仿宋" w:cs="仿宋"/>
          <w:sz w:val="32"/>
          <w:szCs w:val="32"/>
        </w:rPr>
      </w:pPr>
      <w:r>
        <w:rPr>
          <w:rFonts w:hint="eastAsia" w:ascii="仿宋" w:hAnsi="仿宋" w:eastAsia="仿宋" w:cs="仿宋"/>
          <w:sz w:val="32"/>
          <w:szCs w:val="32"/>
        </w:rPr>
        <w:t>一是以加强养老金征缴管理、确保养老金按时足额发放为宗旨，以提高统筹层次为目标，有效快捷地建立企业养老基金收支挂钩机制。促进我区养老、工伤基金增收节支，实现养老保险制度的可持续发展目标。</w:t>
      </w:r>
    </w:p>
    <w:p>
      <w:pPr>
        <w:ind w:firstLine="640" w:firstLineChars="200"/>
        <w:rPr>
          <w:rFonts w:ascii="仿宋" w:hAnsi="仿宋" w:eastAsia="仿宋" w:cs="仿宋"/>
          <w:sz w:val="32"/>
          <w:szCs w:val="32"/>
        </w:rPr>
      </w:pPr>
      <w:r>
        <w:rPr>
          <w:rFonts w:hint="eastAsia" w:ascii="仿宋" w:hAnsi="仿宋" w:eastAsia="仿宋" w:cs="仿宋"/>
          <w:sz w:val="32"/>
          <w:szCs w:val="32"/>
        </w:rPr>
        <w:t>二是加强机关保险基金征缴管理、确保各项待遇按时足额发放。完成养老保险扩面征缴任务，确保养老金按时足额发放，防范基金风险，确保参保人员权益。提高工伤保险参保率，确保工伤保险待遇落实到位。</w:t>
      </w:r>
    </w:p>
    <w:p>
      <w:pPr>
        <w:ind w:firstLine="640" w:firstLineChars="200"/>
        <w:rPr>
          <w:rFonts w:ascii="仿宋" w:hAnsi="仿宋" w:eastAsia="仿宋" w:cs="仿宋"/>
          <w:sz w:val="32"/>
          <w:szCs w:val="32"/>
        </w:rPr>
      </w:pPr>
      <w:r>
        <w:rPr>
          <w:rFonts w:hint="eastAsia" w:ascii="仿宋" w:hAnsi="仿宋" w:eastAsia="仿宋" w:cs="仿宋"/>
          <w:sz w:val="32"/>
          <w:szCs w:val="32"/>
        </w:rPr>
        <w:t>三是着力统一为全区离退休人员提供社会化管理服务工作，指导社区居委会保障所为离退休人员进行资格认证并开展各种文体活动及慰问走访工作。做好退休人员档案和社保业务档案接收、管理和利用及硬件的维护工作。</w:t>
      </w:r>
    </w:p>
    <w:p>
      <w:pPr>
        <w:ind w:firstLine="560"/>
        <w:rPr>
          <w:rFonts w:ascii="楷体_GB2312" w:hAnsi="Times New Roman" w:eastAsia="楷体_GB2312" w:cs="Times New Roman"/>
          <w:b/>
          <w:sz w:val="32"/>
          <w:szCs w:val="24"/>
        </w:rPr>
      </w:pPr>
      <w:r>
        <w:rPr>
          <w:rFonts w:hint="eastAsia" w:ascii="楷体_GB2312" w:hAnsi="黑体" w:eastAsia="楷体_GB2312" w:cs="Times New Roman"/>
          <w:b/>
          <w:sz w:val="32"/>
          <w:szCs w:val="32"/>
        </w:rPr>
        <w:t>部门职责及工作活动绩效目标指标：</w:t>
      </w:r>
    </w:p>
    <w:bookmarkEnd w:id="0"/>
    <w:p>
      <w:pPr>
        <w:jc w:val="center"/>
        <w:outlineLvl w:val="0"/>
        <w:rPr>
          <w:rFonts w:ascii="方正小标宋_GBK" w:eastAsia="方正小标宋_GBK"/>
          <w:sz w:val="32"/>
        </w:rPr>
      </w:pPr>
      <w:bookmarkStart w:id="1" w:name="_Toc507505240"/>
      <w:r>
        <w:rPr>
          <w:rFonts w:hint="eastAsia" w:ascii="方正小标宋_GBK" w:eastAsia="方正小标宋_GBK"/>
          <w:sz w:val="32"/>
        </w:rPr>
        <w:t>部门职责-工作活动绩效目标</w:t>
      </w:r>
      <w:bookmarkEnd w:id="1"/>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438</w:t>
            </w:r>
            <w:r>
              <w:rPr>
                <w:rFonts w:hint="eastAsia" w:ascii="方正小标宋_GBK" w:eastAsia="方正小标宋_GBK"/>
                <w:sz w:val="24"/>
              </w:rPr>
              <w:t>长安区社会劳动保险事业管理局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一、社会保险基金业务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601.06</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负责全区企业及个人养老保险基金的征缴及待遇支付业务；负责企业工伤保险基金的征缴、审核及拨付等业务，对全区参保单位进行社会保险参保及缴费情况的稽核</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以加强养老金征缴管理、确保养老金按时足额发放为宗旨，以提高统筹层次为目标，有效快捷地建立企业养老基金收支挂钩机制。促进我区养老、工伤基金增收节支，实现养老保险制度的可持续发展目标。</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、企业养老保险</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601.06</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贯彻执行国家和省、市制定的各项社会保险法律、法规和政策规定；直接经办辖区单位的社会保险登记；审核社会保险缴费申报；办理社会保险关系的建立、中断、转移、接续和终止工作；审核各项社会保险待遇及支付工作；负责管理辖区内参保单位的各项社会保险缴费记录、档案和</w:t>
            </w:r>
            <w:r>
              <w:rPr>
                <w:rFonts w:hint="eastAsia" w:ascii="方正书宋_GBK" w:eastAsia="方正书宋_GBK"/>
                <w:lang w:eastAsia="zh-CN"/>
              </w:rPr>
              <w:t>个人账户</w:t>
            </w:r>
            <w:r>
              <w:rPr>
                <w:rFonts w:hint="eastAsia" w:ascii="方正书宋_GBK" w:eastAsia="方正书宋_GBK"/>
              </w:rPr>
              <w:t>的信息资料；参与养老保险宣传工作，拟定养老保险宣传具体计划。</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以加强养老金征缴管理、确保养老金按时足额发放为宗旨，以提高统筹层次为目标，有效快捷地建立企业养老基金收支挂钩机制。</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养老保险扩面征缴任务完成率和发放率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及以上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及以上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、企业工伤保险</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负责企业工伤保险的参保登记、缴费申报中断；工伤档案管理和扩面宣传。审核各项工伤保险待遇支付工作。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加强工伤保险扩面征缴</w:t>
            </w:r>
            <w:r>
              <w:rPr>
                <w:rFonts w:ascii="方正书宋_GBK" w:eastAsia="方正书宋_GBK"/>
              </w:rPr>
              <w:t>,</w:t>
            </w:r>
            <w:r>
              <w:rPr>
                <w:rFonts w:hint="eastAsia" w:ascii="方正书宋_GBK" w:eastAsia="方正书宋_GBK"/>
              </w:rPr>
              <w:t>提高参保率工伤保险扩面征缴任务完成率和待遇支付率</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及以上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及以上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、中小企业网上服务</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为参保企业提供方便快捷的网上业务办理（工伤及养老业务）</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为参保企业提供方便快捷的网上业务办理</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方便企业的业务办理</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、个人权益记录</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负责接待参保单位和职工查询</w:t>
            </w:r>
            <w:r>
              <w:rPr>
                <w:rFonts w:hint="eastAsia" w:ascii="方正书宋_GBK" w:eastAsia="方正书宋_GBK"/>
                <w:lang w:eastAsia="zh-CN"/>
              </w:rPr>
              <w:t>个人账户</w:t>
            </w:r>
            <w:r>
              <w:rPr>
                <w:rFonts w:hint="eastAsia" w:ascii="方正书宋_GBK" w:eastAsia="方正书宋_GBK"/>
              </w:rPr>
              <w:t>及其缴费情况，并将进一步推行定期邮寄</w:t>
            </w:r>
            <w:r>
              <w:rPr>
                <w:rFonts w:hint="eastAsia" w:ascii="方正书宋_GBK" w:eastAsia="方正书宋_GBK"/>
                <w:lang w:eastAsia="zh-CN"/>
              </w:rPr>
              <w:t>个人账户</w:t>
            </w:r>
            <w:r>
              <w:rPr>
                <w:rFonts w:hint="eastAsia" w:ascii="方正书宋_GBK" w:eastAsia="方正书宋_GBK"/>
              </w:rPr>
              <w:t>对帐单业务。</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参保人员及其用人单位社会保险登记信息；参保单位及其用人单位缴纳社会保险费获得相关补贴的信息；参保人员享受社会保险待遇资格及领取待遇的信息；参保人员缴费年限和</w:t>
            </w:r>
            <w:r>
              <w:rPr>
                <w:rFonts w:hint="eastAsia" w:ascii="方正书宋_GBK" w:eastAsia="方正书宋_GBK"/>
                <w:lang w:eastAsia="zh-CN"/>
              </w:rPr>
              <w:t>个人账户</w:t>
            </w:r>
            <w:r>
              <w:rPr>
                <w:rFonts w:hint="eastAsia" w:ascii="方正书宋_GBK" w:eastAsia="方正书宋_GBK"/>
              </w:rPr>
              <w:t>信息；其他反映社会保险个人权益的信息</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二、机关保险基金业务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21000.00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负责全区范围内机关事业单位养老基金的征缴及待遇支付业务：负责机关工伤保险基金的征缴、审核及拨付等业务。</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加强机关保险基金征缴管理、确保各项待遇按时足额发放。</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、机关养老保险</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21000.00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全区范围内机关事业单位参保登记管理、在职职工养老保险费申报、核定、中断、转移、接续和养老保手册发放管理工作。对参加机关事业单位养老保险人员的待遇进行审批及对已离退休人员养老保险待遇调整工作和离退休人员养老保险金的支付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完成养老保险扩面征缴任务，确保养老金按时足额发放，防范基金风险，确保参保人员权益。</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养老扩面征缴任务完成率和发放率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及以上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及以上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、机关工伤</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负责全区范围内参加机关事业单位工伤保险用人单位的参保登记、缴费申报、基数核定</w:t>
            </w:r>
            <w:r>
              <w:rPr>
                <w:rFonts w:ascii="方正书宋_GBK" w:eastAsia="方正书宋_GBK"/>
              </w:rPr>
              <w:t>;</w:t>
            </w:r>
            <w:r>
              <w:rPr>
                <w:rFonts w:hint="eastAsia" w:ascii="方正书宋_GBK" w:eastAsia="方正书宋_GBK"/>
              </w:rPr>
              <w:t>工伤档案管理和扩面宣传。审核各项工伤保险待遇支付工作。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提高工伤保险参保率，确保工伤保险待遇落实到位。</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工伤保险参保率；工伤保险待遇到位率</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三、城居保业务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2154.28</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负责城市居民养老保险征缴核定、待遇审核和发放业务，加强对个人账户的管理工作。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提高参保人员续保率，确保待遇按时足额发放</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、城乡居民养老保险</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2154.28</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负责城市居民养老保险征缴核定、待遇审核和发放业务，加强对个人账户的管理工作。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提高参保人员续保率，确保待遇按时足额发放</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加强参保缴费率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及以上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及以上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四、社会化管理服务工作</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64.00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承担社会保险社会化管理和离退休人员的社会化服务工作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统一为全区离退休人员提供社会化管理服务工作，指导社区居委会保障所为离退休人员进行资格认证并开展各种文体活动及慰问走访工作</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、企退人员社会化管理工作</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64.00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承担社会保险社会化管理和离退休人员的社会化服务工作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统一为全区离退休人员提供社会化管理服务工作，指导社区居委会保障所为离退休人员进行资格认证并开展各种文体活动及慰问走访工作</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社会化管理服务完成率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及以上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及以上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及以上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五、退休人员档案管理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对参保单位移交的退休人员档案进行接收、整理、装盒、上架、查阅管理工作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退休人员档案和社保业务档案接收、管理和利用工作</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、退休人员档案管理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对参保单位移交的退休人员档案进行接收、整理、装盒、上架、查阅管理工作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退休人员档案和社保业务档案接收、管理和利用及硬件的维护工作</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各类档案的硬件管理及维护；增设档案库及设备</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bl>
    <w:p>
      <w:pPr>
        <w:autoSpaceDE w:val="0"/>
        <w:autoSpaceDN w:val="0"/>
        <w:adjustRightInd w:val="0"/>
        <w:ind w:left="200"/>
        <w:jc w:val="left"/>
        <w:rPr>
          <w:rFonts w:ascii="宋体" w:cs="宋体"/>
          <w:kern w:val="0"/>
          <w:sz w:val="18"/>
          <w:szCs w:val="18"/>
          <w:lang w:val="zh-CN"/>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outlineLvl w:val="0"/>
        <w:rPr>
          <w:rFonts w:ascii="仿宋" w:hAnsi="仿宋" w:eastAsia="仿宋" w:cs="仿宋"/>
          <w:sz w:val="32"/>
          <w:szCs w:val="32"/>
        </w:rPr>
      </w:pPr>
      <w:bookmarkStart w:id="2" w:name="_Toc471398468"/>
      <w:r>
        <w:rPr>
          <w:rFonts w:ascii="Times New Roman" w:hAnsi="Times New Roman" w:eastAsia="方正仿宋_GBK" w:cs="Times New Roman"/>
          <w:sz w:val="32"/>
          <w:szCs w:val="24"/>
        </w:rPr>
        <w:t xml:space="preserve">   </w:t>
      </w:r>
      <w:r>
        <w:rPr>
          <w:rFonts w:hint="eastAsia" w:ascii="仿宋" w:hAnsi="仿宋" w:eastAsia="仿宋" w:cs="仿宋"/>
          <w:sz w:val="32"/>
          <w:szCs w:val="32"/>
        </w:rPr>
        <w:t>2019年，我局安排政府采购预算30万元。具体内容见下表。</w:t>
      </w:r>
    </w:p>
    <w:tbl>
      <w:tblPr>
        <w:tblStyle w:val="8"/>
        <w:tblW w:w="0" w:type="auto"/>
        <w:tblInd w:w="93" w:type="dxa"/>
        <w:tblLayout w:type="autofit"/>
        <w:tblCellMar>
          <w:top w:w="0" w:type="dxa"/>
          <w:left w:w="108" w:type="dxa"/>
          <w:bottom w:w="0" w:type="dxa"/>
          <w:right w:w="108" w:type="dxa"/>
        </w:tblCellMar>
      </w:tblPr>
      <w:tblGrid>
        <w:gridCol w:w="382"/>
        <w:gridCol w:w="882"/>
        <w:gridCol w:w="4803"/>
        <w:gridCol w:w="2134"/>
        <w:gridCol w:w="550"/>
        <w:gridCol w:w="550"/>
        <w:gridCol w:w="383"/>
        <w:gridCol w:w="466"/>
        <w:gridCol w:w="466"/>
        <w:gridCol w:w="383"/>
        <w:gridCol w:w="633"/>
        <w:gridCol w:w="633"/>
        <w:gridCol w:w="633"/>
        <w:gridCol w:w="550"/>
        <w:gridCol w:w="633"/>
      </w:tblGrid>
      <w:tr>
        <w:tblPrEx>
          <w:tblCellMar>
            <w:top w:w="0" w:type="dxa"/>
            <w:left w:w="108" w:type="dxa"/>
            <w:bottom w:w="0" w:type="dxa"/>
            <w:right w:w="108" w:type="dxa"/>
          </w:tblCellMar>
        </w:tblPrEx>
        <w:trPr>
          <w:trHeight w:val="600" w:hRule="atLeast"/>
        </w:trPr>
        <w:tc>
          <w:tcPr>
            <w:tcW w:w="0" w:type="auto"/>
            <w:gridSpan w:val="15"/>
            <w:tcBorders>
              <w:top w:val="nil"/>
              <w:left w:val="nil"/>
              <w:bottom w:val="nil"/>
              <w:right w:val="nil"/>
            </w:tcBorders>
            <w:shd w:val="clear" w:color="auto" w:fill="auto"/>
            <w:vAlign w:val="center"/>
          </w:tcPr>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政府采购预算表</w:t>
            </w:r>
          </w:p>
        </w:tc>
      </w:tr>
      <w:tr>
        <w:tblPrEx>
          <w:tblCellMar>
            <w:top w:w="0" w:type="dxa"/>
            <w:left w:w="108" w:type="dxa"/>
            <w:bottom w:w="0" w:type="dxa"/>
            <w:right w:w="108" w:type="dxa"/>
          </w:tblCellMar>
        </w:tblPrEx>
        <w:trPr>
          <w:trHeight w:val="240" w:hRule="atLeast"/>
        </w:trPr>
        <w:tc>
          <w:tcPr>
            <w:tcW w:w="0" w:type="auto"/>
            <w:gridSpan w:val="15"/>
            <w:tcBorders>
              <w:top w:val="nil"/>
              <w:left w:val="nil"/>
              <w:bottom w:val="nil"/>
              <w:right w:val="nil"/>
            </w:tcBorders>
            <w:shd w:val="clear" w:color="auto" w:fill="auto"/>
            <w:vAlign w:val="center"/>
          </w:tcPr>
          <w:p>
            <w:pPr>
              <w:widowControl/>
              <w:rPr>
                <w:rFonts w:ascii="宋体" w:hAnsi="宋体" w:eastAsia="宋体" w:cs="宋体"/>
                <w:kern w:val="0"/>
                <w:sz w:val="18"/>
                <w:szCs w:val="18"/>
              </w:rPr>
            </w:pPr>
            <w:r>
              <w:rPr>
                <w:rFonts w:hint="eastAsia" w:ascii="宋体" w:hAnsi="宋体" w:eastAsia="宋体" w:cs="宋体"/>
                <w:kern w:val="0"/>
                <w:sz w:val="18"/>
                <w:szCs w:val="18"/>
              </w:rPr>
              <w:t>部门编码及名称：[438]长安区社会劳动保险事业管理局</w:t>
            </w:r>
          </w:p>
        </w:tc>
      </w:tr>
      <w:tr>
        <w:tblPrEx>
          <w:tblCellMar>
            <w:top w:w="0" w:type="dxa"/>
            <w:left w:w="108" w:type="dxa"/>
            <w:bottom w:w="0" w:type="dxa"/>
            <w:right w:w="108" w:type="dxa"/>
          </w:tblCellMar>
        </w:tblPrEx>
        <w:trPr>
          <w:trHeight w:val="240" w:hRule="atLeast"/>
        </w:trPr>
        <w:tc>
          <w:tcPr>
            <w:tcW w:w="0" w:type="auto"/>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序号</w:t>
            </w:r>
          </w:p>
        </w:tc>
        <w:tc>
          <w:tcPr>
            <w:tcW w:w="0" w:type="auto"/>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所属项目</w:t>
            </w:r>
          </w:p>
        </w:tc>
        <w:tc>
          <w:tcPr>
            <w:tcW w:w="0" w:type="auto"/>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采购物品目录序号、物品名称</w:t>
            </w:r>
          </w:p>
        </w:tc>
        <w:tc>
          <w:tcPr>
            <w:tcW w:w="0" w:type="auto"/>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采购类别</w:t>
            </w:r>
          </w:p>
        </w:tc>
        <w:tc>
          <w:tcPr>
            <w:tcW w:w="0" w:type="auto"/>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采购物品产地</w:t>
            </w:r>
          </w:p>
        </w:tc>
        <w:tc>
          <w:tcPr>
            <w:tcW w:w="0" w:type="auto"/>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单位(万元)</w:t>
            </w:r>
          </w:p>
        </w:tc>
        <w:tc>
          <w:tcPr>
            <w:tcW w:w="0" w:type="auto"/>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单价</w:t>
            </w:r>
          </w:p>
        </w:tc>
        <w:tc>
          <w:tcPr>
            <w:tcW w:w="0" w:type="auto"/>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数量</w:t>
            </w:r>
          </w:p>
        </w:tc>
        <w:tc>
          <w:tcPr>
            <w:tcW w:w="0" w:type="auto"/>
            <w:gridSpan w:val="5"/>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政府采购计划金额</w:t>
            </w:r>
          </w:p>
        </w:tc>
      </w:tr>
      <w:tr>
        <w:tblPrEx>
          <w:tblCellMar>
            <w:top w:w="0" w:type="dxa"/>
            <w:left w:w="108" w:type="dxa"/>
            <w:bottom w:w="0" w:type="dxa"/>
            <w:right w:w="108" w:type="dxa"/>
          </w:tblCellMar>
        </w:tblPrEx>
        <w:trPr>
          <w:trHeight w:val="240" w:hRule="atLeast"/>
        </w:trPr>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总计</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当年部门预算安排资金</w:t>
            </w:r>
          </w:p>
        </w:tc>
      </w:tr>
      <w:tr>
        <w:tblPrEx>
          <w:tblCellMar>
            <w:top w:w="0" w:type="dxa"/>
            <w:left w:w="108" w:type="dxa"/>
            <w:bottom w:w="0" w:type="dxa"/>
            <w:right w:w="108" w:type="dxa"/>
          </w:tblCellMar>
        </w:tblPrEx>
        <w:trPr>
          <w:trHeight w:val="240" w:hRule="atLeast"/>
        </w:trPr>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项目资金性质</w:t>
            </w:r>
          </w:p>
        </w:tc>
        <w:tc>
          <w:tcPr>
            <w:tcW w:w="0" w:type="auto"/>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项目编号、名称、功能分类科目、经济分类科目</w:t>
            </w: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合计</w:t>
            </w:r>
          </w:p>
        </w:tc>
        <w:tc>
          <w:tcPr>
            <w:tcW w:w="0" w:type="auto"/>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一般公共预算拨款</w:t>
            </w:r>
          </w:p>
        </w:tc>
      </w:tr>
      <w:tr>
        <w:tblPrEx>
          <w:tblCellMar>
            <w:top w:w="0" w:type="dxa"/>
            <w:left w:w="108" w:type="dxa"/>
            <w:bottom w:w="0" w:type="dxa"/>
            <w:right w:w="108" w:type="dxa"/>
          </w:tblCellMar>
        </w:tblPrEx>
        <w:trPr>
          <w:trHeight w:val="480" w:hRule="atLeast"/>
        </w:trPr>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p>
        </w:tc>
        <w:tc>
          <w:tcPr>
            <w:tcW w:w="0" w:type="auto"/>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小计</w:t>
            </w:r>
          </w:p>
        </w:tc>
        <w:tc>
          <w:tcPr>
            <w:tcW w:w="0" w:type="auto"/>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事业费限额</w:t>
            </w:r>
          </w:p>
        </w:tc>
        <w:tc>
          <w:tcPr>
            <w:tcW w:w="0" w:type="auto"/>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非限额补助</w:t>
            </w:r>
          </w:p>
        </w:tc>
      </w:tr>
      <w:tr>
        <w:tblPrEx>
          <w:tblCellMar>
            <w:top w:w="0" w:type="dxa"/>
            <w:left w:w="108" w:type="dxa"/>
            <w:bottom w:w="0" w:type="dxa"/>
            <w:right w:w="108" w:type="dxa"/>
          </w:tblCellMar>
        </w:tblPrEx>
        <w:trPr>
          <w:trHeight w:val="240" w:hRule="atLeast"/>
        </w:trPr>
        <w:tc>
          <w:tcPr>
            <w:tcW w:w="0" w:type="auto"/>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栏次</w:t>
            </w:r>
          </w:p>
        </w:tc>
        <w:tc>
          <w:tcPr>
            <w:tcW w:w="0" w:type="auto"/>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0" w:type="auto"/>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0" w:type="auto"/>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0" w:type="auto"/>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0" w:type="auto"/>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7</w:t>
            </w:r>
          </w:p>
        </w:tc>
        <w:tc>
          <w:tcPr>
            <w:tcW w:w="0" w:type="auto"/>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0" w:type="auto"/>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0" w:type="auto"/>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0" w:type="auto"/>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11</w:t>
            </w:r>
          </w:p>
        </w:tc>
        <w:tc>
          <w:tcPr>
            <w:tcW w:w="0" w:type="auto"/>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12</w:t>
            </w:r>
          </w:p>
        </w:tc>
        <w:tc>
          <w:tcPr>
            <w:tcW w:w="0" w:type="auto"/>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13</w:t>
            </w:r>
          </w:p>
        </w:tc>
        <w:tc>
          <w:tcPr>
            <w:tcW w:w="0" w:type="auto"/>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14</w:t>
            </w:r>
          </w:p>
        </w:tc>
        <w:tc>
          <w:tcPr>
            <w:tcW w:w="0" w:type="auto"/>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0" w:type="auto"/>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16</w:t>
            </w:r>
          </w:p>
        </w:tc>
      </w:tr>
      <w:tr>
        <w:tblPrEx>
          <w:tblCellMar>
            <w:top w:w="0" w:type="dxa"/>
            <w:left w:w="108" w:type="dxa"/>
            <w:bottom w:w="0" w:type="dxa"/>
            <w:right w:w="108" w:type="dxa"/>
          </w:tblCellMar>
        </w:tblPrEx>
        <w:trPr>
          <w:trHeight w:val="240" w:hRule="atLeast"/>
        </w:trPr>
        <w:tc>
          <w:tcPr>
            <w:tcW w:w="0" w:type="auto"/>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0</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30.00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30.00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30.00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30.00</w:t>
            </w:r>
          </w:p>
        </w:tc>
      </w:tr>
      <w:tr>
        <w:tblPrEx>
          <w:tblCellMar>
            <w:top w:w="0" w:type="dxa"/>
            <w:left w:w="108" w:type="dxa"/>
            <w:bottom w:w="0" w:type="dxa"/>
            <w:right w:w="108" w:type="dxa"/>
          </w:tblCellMar>
        </w:tblPrEx>
        <w:trPr>
          <w:trHeight w:val="240" w:hRule="atLeast"/>
        </w:trPr>
        <w:tc>
          <w:tcPr>
            <w:tcW w:w="0" w:type="auto"/>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项目支出</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[438-0401-JBN-HVGR][社会化管理服务经费][2080109][30299]</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[A020523]制冷空调设备</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货物</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省内</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0.5</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10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w:t>
            </w:r>
          </w:p>
        </w:tc>
      </w:tr>
      <w:tr>
        <w:tblPrEx>
          <w:tblCellMar>
            <w:top w:w="0" w:type="dxa"/>
            <w:left w:w="108" w:type="dxa"/>
            <w:bottom w:w="0" w:type="dxa"/>
            <w:right w:w="108" w:type="dxa"/>
          </w:tblCellMar>
        </w:tblPrEx>
        <w:trPr>
          <w:trHeight w:val="240" w:hRule="atLeast"/>
        </w:trPr>
        <w:tc>
          <w:tcPr>
            <w:tcW w:w="0" w:type="auto"/>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项目支出</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[438-0401-JBN-HVGR][社会化管理服务经费][2080109][30299]</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[C02]信息技术服务</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货物</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省内</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0.5</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10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w:t>
            </w:r>
          </w:p>
        </w:tc>
      </w:tr>
      <w:tr>
        <w:tblPrEx>
          <w:tblCellMar>
            <w:top w:w="0" w:type="dxa"/>
            <w:left w:w="108" w:type="dxa"/>
            <w:bottom w:w="0" w:type="dxa"/>
            <w:right w:w="108" w:type="dxa"/>
          </w:tblCellMar>
        </w:tblPrEx>
        <w:trPr>
          <w:trHeight w:val="240" w:hRule="atLeast"/>
        </w:trPr>
        <w:tc>
          <w:tcPr>
            <w:tcW w:w="0" w:type="auto"/>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项目支出</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[438-0401-JBN-HVGR][社会化管理服务经费][2080109][30299]</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[A06]家具用具</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货物</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省内</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0.2</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10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2.00</w:t>
            </w:r>
          </w:p>
        </w:tc>
      </w:tr>
      <w:tr>
        <w:tblPrEx>
          <w:tblCellMar>
            <w:top w:w="0" w:type="dxa"/>
            <w:left w:w="108" w:type="dxa"/>
            <w:bottom w:w="0" w:type="dxa"/>
            <w:right w:w="108" w:type="dxa"/>
          </w:tblCellMar>
        </w:tblPrEx>
        <w:trPr>
          <w:trHeight w:val="240" w:hRule="atLeast"/>
        </w:trPr>
        <w:tc>
          <w:tcPr>
            <w:tcW w:w="0" w:type="auto"/>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项目支出</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[438-0401-JBN-HVGR][社会化管理服务经费][2080109][30299]</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[A020204]多功能一体机</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货物</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省内</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0.4</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8.00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8.00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8.00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8.00</w:t>
            </w:r>
          </w:p>
        </w:tc>
      </w:tr>
      <w:tr>
        <w:tblPrEx>
          <w:tblCellMar>
            <w:top w:w="0" w:type="dxa"/>
            <w:left w:w="108" w:type="dxa"/>
            <w:bottom w:w="0" w:type="dxa"/>
            <w:right w:w="108" w:type="dxa"/>
          </w:tblCellMar>
        </w:tblPrEx>
        <w:trPr>
          <w:trHeight w:val="240" w:hRule="atLeast"/>
        </w:trPr>
        <w:tc>
          <w:tcPr>
            <w:tcW w:w="0" w:type="auto"/>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项目支出</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[438-0401-JBN-HVGR][社会化管理服务经费][2080109][30299]</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[A0201]计算机设备及软件</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货物</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省内</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0.5</w:t>
            </w:r>
          </w:p>
        </w:tc>
        <w:tc>
          <w:tcPr>
            <w:tcW w:w="0" w:type="auto"/>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0.00</w:t>
            </w:r>
          </w:p>
        </w:tc>
        <w:tc>
          <w:tcPr>
            <w:tcW w:w="0" w:type="auto"/>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10.00</w:t>
            </w:r>
          </w:p>
        </w:tc>
      </w:tr>
      <w:bookmarkEnd w:id="2"/>
    </w:tbl>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firstLineChars="200"/>
        <w:rPr>
          <w:rFonts w:ascii="仿宋" w:hAnsi="仿宋" w:eastAsia="仿宋" w:cs="仿宋"/>
          <w:sz w:val="32"/>
          <w:szCs w:val="32"/>
        </w:rPr>
      </w:pPr>
      <w:r>
        <w:rPr>
          <w:rFonts w:hint="eastAsia" w:ascii="仿宋" w:hAnsi="仿宋" w:eastAsia="仿宋" w:cs="仿宋"/>
          <w:sz w:val="32"/>
          <w:szCs w:val="32"/>
        </w:rPr>
        <w:t>长安区社保局上年末固定资产金额为122.36万元（详见下表），本年度拟购置固定资产总额为30万元，主要为计算机设备、打印设备、空调、办公家具等，已列入政府采购预算，详见政府采购预算表。</w:t>
      </w:r>
    </w:p>
    <w:tbl>
      <w:tblPr>
        <w:tblStyle w:val="8"/>
        <w:tblW w:w="5000" w:type="pct"/>
        <w:tblInd w:w="0" w:type="dxa"/>
        <w:tblLayout w:type="autofit"/>
        <w:tblCellMar>
          <w:top w:w="0" w:type="dxa"/>
          <w:left w:w="108" w:type="dxa"/>
          <w:bottom w:w="0" w:type="dxa"/>
          <w:right w:w="108" w:type="dxa"/>
        </w:tblCellMar>
      </w:tblPr>
      <w:tblGrid>
        <w:gridCol w:w="8306"/>
        <w:gridCol w:w="941"/>
        <w:gridCol w:w="2713"/>
        <w:gridCol w:w="2214"/>
      </w:tblGrid>
      <w:tr>
        <w:tblPrEx>
          <w:tblCellMar>
            <w:top w:w="0" w:type="dxa"/>
            <w:left w:w="108" w:type="dxa"/>
            <w:bottom w:w="0" w:type="dxa"/>
            <w:right w:w="108" w:type="dxa"/>
          </w:tblCellMar>
        </w:tblPrEx>
        <w:trPr>
          <w:gridAfter w:val="1"/>
          <w:wAfter w:w="781" w:type="pct"/>
          <w:trHeight w:val="705" w:hRule="atLeast"/>
        </w:trPr>
        <w:tc>
          <w:tcPr>
            <w:tcW w:w="4219" w:type="pct"/>
            <w:gridSpan w:val="3"/>
            <w:tcBorders>
              <w:top w:val="nil"/>
              <w:left w:val="nil"/>
              <w:bottom w:val="nil"/>
              <w:right w:val="nil"/>
            </w:tcBorders>
            <w:shd w:val="clear" w:color="auto" w:fill="auto"/>
            <w:noWrap/>
            <w:vAlign w:val="center"/>
          </w:tcPr>
          <w:p>
            <w:pPr>
              <w:widowControl/>
              <w:jc w:val="center"/>
              <w:rPr>
                <w:rFonts w:hint="eastAsia" w:ascii="宋体" w:hAnsi="宋体" w:cs="宋体"/>
                <w:b/>
                <w:bCs/>
                <w:kern w:val="0"/>
                <w:sz w:val="32"/>
                <w:szCs w:val="32"/>
              </w:rPr>
            </w:pPr>
            <w:r>
              <w:rPr>
                <w:rFonts w:hint="eastAsia" w:ascii="宋体" w:hAnsi="宋体" w:cs="宋体"/>
                <w:b/>
                <w:bCs/>
                <w:kern w:val="0"/>
                <w:sz w:val="32"/>
                <w:szCs w:val="32"/>
              </w:rPr>
              <w:t xml:space="preserve">          </w:t>
            </w:r>
          </w:p>
          <w:p>
            <w:pPr>
              <w:widowControl/>
              <w:jc w:val="center"/>
              <w:rPr>
                <w:rFonts w:hint="eastAsia" w:ascii="宋体" w:hAnsi="宋体" w:cs="宋体"/>
                <w:b/>
                <w:bCs/>
                <w:kern w:val="0"/>
                <w:sz w:val="32"/>
                <w:szCs w:val="32"/>
              </w:rPr>
            </w:pPr>
          </w:p>
          <w:p>
            <w:pPr>
              <w:widowControl/>
              <w:jc w:val="center"/>
              <w:rPr>
                <w:rFonts w:ascii="宋体" w:hAnsi="宋体" w:cs="宋体"/>
                <w:b/>
                <w:bCs/>
                <w:kern w:val="0"/>
                <w:sz w:val="32"/>
                <w:szCs w:val="32"/>
              </w:rPr>
            </w:pPr>
            <w:r>
              <w:rPr>
                <w:rFonts w:hint="eastAsia" w:ascii="宋体" w:hAnsi="宋体" w:cs="宋体"/>
                <w:b/>
                <w:bCs/>
                <w:kern w:val="0"/>
                <w:sz w:val="32"/>
                <w:szCs w:val="32"/>
              </w:rPr>
              <w:t xml:space="preserve"> 部门固定资产占用情况表</w:t>
            </w:r>
          </w:p>
        </w:tc>
      </w:tr>
      <w:tr>
        <w:tblPrEx>
          <w:tblCellMar>
            <w:top w:w="0" w:type="dxa"/>
            <w:left w:w="108" w:type="dxa"/>
            <w:bottom w:w="0" w:type="dxa"/>
            <w:right w:w="108" w:type="dxa"/>
          </w:tblCellMar>
        </w:tblPrEx>
        <w:trPr>
          <w:trHeight w:val="270" w:hRule="atLeast"/>
        </w:trPr>
        <w:tc>
          <w:tcPr>
            <w:tcW w:w="3262" w:type="pct"/>
            <w:gridSpan w:val="2"/>
            <w:tcBorders>
              <w:top w:val="nil"/>
              <w:left w:val="nil"/>
              <w:bottom w:val="nil"/>
              <w:right w:val="nil"/>
            </w:tcBorders>
            <w:shd w:val="clear" w:color="auto" w:fill="auto"/>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编制部门：438长安区社会劳动保险事业管理局</w:t>
            </w:r>
          </w:p>
        </w:tc>
        <w:tc>
          <w:tcPr>
            <w:tcW w:w="1738" w:type="pct"/>
            <w:gridSpan w:val="2"/>
            <w:tcBorders>
              <w:top w:val="nil"/>
              <w:left w:val="nil"/>
              <w:bottom w:val="nil"/>
              <w:right w:val="nil"/>
            </w:tcBorders>
            <w:shd w:val="clear" w:color="auto" w:fill="auto"/>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 xml:space="preserve">                截止时间：2018年12月31日  </w:t>
            </w:r>
          </w:p>
        </w:tc>
      </w:tr>
      <w:tr>
        <w:tblPrEx>
          <w:tblCellMar>
            <w:top w:w="0" w:type="dxa"/>
            <w:left w:w="108" w:type="dxa"/>
            <w:bottom w:w="0" w:type="dxa"/>
            <w:right w:w="108" w:type="dxa"/>
          </w:tblCellMar>
        </w:tblPrEx>
        <w:trPr>
          <w:trHeight w:val="720" w:hRule="atLeast"/>
        </w:trPr>
        <w:tc>
          <w:tcPr>
            <w:tcW w:w="2930" w:type="pc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
                <w:bCs/>
                <w:color w:val="000000"/>
                <w:kern w:val="0"/>
                <w:sz w:val="22"/>
              </w:rPr>
            </w:pPr>
            <w:r>
              <w:rPr>
                <w:rFonts w:hint="eastAsia" w:ascii="宋体" w:hAnsi="宋体" w:cs="宋体"/>
                <w:b/>
                <w:bCs/>
                <w:color w:val="000000"/>
                <w:kern w:val="0"/>
                <w:sz w:val="22"/>
              </w:rPr>
              <w:t>项   目</w:t>
            </w:r>
          </w:p>
        </w:tc>
        <w:tc>
          <w:tcPr>
            <w:tcW w:w="332" w:type="pct"/>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cs="宋体"/>
                <w:b/>
                <w:bCs/>
                <w:color w:val="000000"/>
                <w:kern w:val="0"/>
                <w:sz w:val="22"/>
              </w:rPr>
            </w:pPr>
            <w:r>
              <w:rPr>
                <w:rFonts w:hint="eastAsia" w:ascii="宋体" w:hAnsi="宋体" w:cs="宋体"/>
                <w:b/>
                <w:bCs/>
                <w:color w:val="000000"/>
                <w:kern w:val="0"/>
                <w:sz w:val="22"/>
              </w:rPr>
              <w:t>数量</w:t>
            </w:r>
          </w:p>
        </w:tc>
        <w:tc>
          <w:tcPr>
            <w:tcW w:w="1738" w:type="pct"/>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cs="宋体"/>
                <w:b/>
                <w:bCs/>
                <w:color w:val="000000"/>
                <w:kern w:val="0"/>
                <w:sz w:val="22"/>
              </w:rPr>
            </w:pPr>
            <w:r>
              <w:rPr>
                <w:rFonts w:hint="eastAsia" w:ascii="宋体" w:hAnsi="宋体" w:cs="宋体"/>
                <w:b/>
                <w:bCs/>
                <w:color w:val="000000"/>
                <w:kern w:val="0"/>
                <w:sz w:val="22"/>
              </w:rPr>
              <w:t>价值（金额单位：万元）</w:t>
            </w:r>
          </w:p>
        </w:tc>
      </w:tr>
      <w:tr>
        <w:tblPrEx>
          <w:tblCellMar>
            <w:top w:w="0" w:type="dxa"/>
            <w:left w:w="108" w:type="dxa"/>
            <w:bottom w:w="0" w:type="dxa"/>
            <w:right w:w="108" w:type="dxa"/>
          </w:tblCellMar>
        </w:tblPrEx>
        <w:trPr>
          <w:trHeight w:val="720" w:hRule="atLeast"/>
        </w:trPr>
        <w:tc>
          <w:tcPr>
            <w:tcW w:w="2930" w:type="pct"/>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Cs w:val="21"/>
              </w:rPr>
            </w:pPr>
            <w:r>
              <w:rPr>
                <w:rFonts w:hint="eastAsia" w:ascii="宋体" w:hAnsi="宋体" w:cs="宋体"/>
                <w:color w:val="000000"/>
                <w:kern w:val="0"/>
                <w:szCs w:val="21"/>
              </w:rPr>
              <w:t>资产总额</w:t>
            </w:r>
          </w:p>
        </w:tc>
        <w:tc>
          <w:tcPr>
            <w:tcW w:w="332" w:type="pct"/>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w:t>
            </w:r>
          </w:p>
        </w:tc>
        <w:tc>
          <w:tcPr>
            <w:tcW w:w="1738" w:type="pct"/>
            <w:gridSpan w:val="2"/>
            <w:tcBorders>
              <w:top w:val="nil"/>
              <w:left w:val="nil"/>
              <w:bottom w:val="single" w:color="auto" w:sz="4" w:space="0"/>
              <w:right w:val="single" w:color="auto" w:sz="4" w:space="0"/>
            </w:tcBorders>
            <w:shd w:val="clear" w:color="auto" w:fill="auto"/>
            <w:noWrap/>
            <w:vAlign w:val="center"/>
          </w:tcPr>
          <w:p>
            <w:pPr>
              <w:widowControl/>
              <w:jc w:val="right"/>
              <w:rPr>
                <w:rFonts w:cs="宋体"/>
                <w:color w:val="000000"/>
                <w:kern w:val="0"/>
                <w:szCs w:val="21"/>
              </w:rPr>
            </w:pPr>
            <w:r>
              <w:rPr>
                <w:rFonts w:hint="eastAsia" w:cs="宋体"/>
                <w:color w:val="000000"/>
                <w:kern w:val="0"/>
                <w:szCs w:val="21"/>
              </w:rPr>
              <w:t>122.36</w:t>
            </w:r>
          </w:p>
        </w:tc>
      </w:tr>
      <w:tr>
        <w:tblPrEx>
          <w:tblCellMar>
            <w:top w:w="0" w:type="dxa"/>
            <w:left w:w="108" w:type="dxa"/>
            <w:bottom w:w="0" w:type="dxa"/>
            <w:right w:w="108" w:type="dxa"/>
          </w:tblCellMar>
        </w:tblPrEx>
        <w:trPr>
          <w:trHeight w:val="720" w:hRule="atLeast"/>
        </w:trPr>
        <w:tc>
          <w:tcPr>
            <w:tcW w:w="2930" w:type="pct"/>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Cs w:val="21"/>
              </w:rPr>
            </w:pPr>
            <w:r>
              <w:rPr>
                <w:rFonts w:hint="eastAsia" w:ascii="宋体" w:hAnsi="宋体" w:cs="宋体"/>
                <w:color w:val="000000"/>
                <w:kern w:val="0"/>
                <w:szCs w:val="21"/>
              </w:rPr>
              <w:t>（一）房屋（平方米）</w:t>
            </w:r>
          </w:p>
        </w:tc>
        <w:tc>
          <w:tcPr>
            <w:tcW w:w="332" w:type="pct"/>
            <w:tcBorders>
              <w:top w:val="nil"/>
              <w:left w:val="nil"/>
              <w:bottom w:val="single" w:color="auto" w:sz="4" w:space="0"/>
              <w:right w:val="single" w:color="auto" w:sz="4" w:space="0"/>
            </w:tcBorders>
            <w:shd w:val="clear" w:color="auto" w:fill="auto"/>
            <w:noWrap/>
            <w:vAlign w:val="center"/>
          </w:tcPr>
          <w:p>
            <w:pPr>
              <w:widowControl/>
              <w:jc w:val="right"/>
              <w:rPr>
                <w:rFonts w:cs="宋体"/>
                <w:color w:val="000000"/>
                <w:kern w:val="0"/>
                <w:szCs w:val="21"/>
              </w:rPr>
            </w:pPr>
          </w:p>
        </w:tc>
        <w:tc>
          <w:tcPr>
            <w:tcW w:w="1738" w:type="pct"/>
            <w:gridSpan w:val="2"/>
            <w:tcBorders>
              <w:top w:val="nil"/>
              <w:left w:val="nil"/>
              <w:bottom w:val="single" w:color="auto" w:sz="4" w:space="0"/>
              <w:right w:val="single" w:color="auto" w:sz="4" w:space="0"/>
            </w:tcBorders>
            <w:shd w:val="clear" w:color="auto" w:fill="auto"/>
            <w:noWrap/>
            <w:vAlign w:val="center"/>
          </w:tcPr>
          <w:p>
            <w:pPr>
              <w:widowControl/>
              <w:jc w:val="right"/>
              <w:rPr>
                <w:rFonts w:cs="宋体"/>
                <w:color w:val="000000"/>
                <w:kern w:val="0"/>
                <w:szCs w:val="21"/>
              </w:rPr>
            </w:pPr>
          </w:p>
        </w:tc>
      </w:tr>
      <w:tr>
        <w:tblPrEx>
          <w:tblCellMar>
            <w:top w:w="0" w:type="dxa"/>
            <w:left w:w="108" w:type="dxa"/>
            <w:bottom w:w="0" w:type="dxa"/>
            <w:right w:w="108" w:type="dxa"/>
          </w:tblCellMar>
        </w:tblPrEx>
        <w:trPr>
          <w:trHeight w:val="720" w:hRule="atLeast"/>
        </w:trPr>
        <w:tc>
          <w:tcPr>
            <w:tcW w:w="2930" w:type="pct"/>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cs="宋体"/>
                <w:color w:val="000000"/>
                <w:kern w:val="0"/>
                <w:szCs w:val="21"/>
              </w:rPr>
            </w:pPr>
            <w:r>
              <w:rPr>
                <w:rFonts w:cs="宋体"/>
                <w:color w:val="000000"/>
                <w:kern w:val="0"/>
                <w:szCs w:val="21"/>
              </w:rPr>
              <w:t>1</w:t>
            </w:r>
            <w:r>
              <w:rPr>
                <w:rFonts w:hint="eastAsia" w:ascii="宋体" w:hAnsi="宋体" w:cs="宋体"/>
                <w:color w:val="000000"/>
                <w:kern w:val="0"/>
                <w:szCs w:val="21"/>
              </w:rPr>
              <w:t>、办公用房</w:t>
            </w:r>
          </w:p>
        </w:tc>
        <w:tc>
          <w:tcPr>
            <w:tcW w:w="332" w:type="pct"/>
            <w:tcBorders>
              <w:top w:val="nil"/>
              <w:left w:val="nil"/>
              <w:bottom w:val="single" w:color="auto" w:sz="4" w:space="0"/>
              <w:right w:val="single" w:color="auto" w:sz="4" w:space="0"/>
            </w:tcBorders>
            <w:shd w:val="clear" w:color="auto" w:fill="auto"/>
            <w:noWrap/>
            <w:vAlign w:val="center"/>
          </w:tcPr>
          <w:p>
            <w:pPr>
              <w:widowControl/>
              <w:jc w:val="right"/>
              <w:rPr>
                <w:rFonts w:cs="宋体"/>
                <w:color w:val="000000"/>
                <w:kern w:val="0"/>
                <w:szCs w:val="21"/>
              </w:rPr>
            </w:pPr>
          </w:p>
        </w:tc>
        <w:tc>
          <w:tcPr>
            <w:tcW w:w="1738" w:type="pct"/>
            <w:gridSpan w:val="2"/>
            <w:tcBorders>
              <w:top w:val="nil"/>
              <w:left w:val="nil"/>
              <w:bottom w:val="single" w:color="auto" w:sz="4" w:space="0"/>
              <w:right w:val="single" w:color="auto" w:sz="4" w:space="0"/>
            </w:tcBorders>
            <w:shd w:val="clear" w:color="auto" w:fill="auto"/>
            <w:noWrap/>
            <w:vAlign w:val="center"/>
          </w:tcPr>
          <w:p>
            <w:pPr>
              <w:widowControl/>
              <w:jc w:val="right"/>
              <w:rPr>
                <w:rFonts w:cs="宋体"/>
                <w:color w:val="000000"/>
                <w:kern w:val="0"/>
                <w:szCs w:val="21"/>
              </w:rPr>
            </w:pPr>
          </w:p>
        </w:tc>
      </w:tr>
      <w:tr>
        <w:tblPrEx>
          <w:tblCellMar>
            <w:top w:w="0" w:type="dxa"/>
            <w:left w:w="108" w:type="dxa"/>
            <w:bottom w:w="0" w:type="dxa"/>
            <w:right w:w="108" w:type="dxa"/>
          </w:tblCellMar>
        </w:tblPrEx>
        <w:trPr>
          <w:trHeight w:val="720" w:hRule="atLeast"/>
        </w:trPr>
        <w:tc>
          <w:tcPr>
            <w:tcW w:w="2930" w:type="pct"/>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cs="宋体"/>
                <w:color w:val="000000"/>
                <w:kern w:val="0"/>
                <w:szCs w:val="21"/>
              </w:rPr>
            </w:pPr>
            <w:r>
              <w:rPr>
                <w:rFonts w:cs="宋体"/>
                <w:color w:val="000000"/>
                <w:kern w:val="0"/>
                <w:szCs w:val="21"/>
              </w:rPr>
              <w:t>2</w:t>
            </w:r>
            <w:r>
              <w:rPr>
                <w:rFonts w:hint="eastAsia" w:ascii="宋体" w:hAnsi="宋体" w:cs="宋体"/>
                <w:color w:val="000000"/>
                <w:kern w:val="0"/>
                <w:szCs w:val="21"/>
              </w:rPr>
              <w:t>、业务用房</w:t>
            </w:r>
          </w:p>
        </w:tc>
        <w:tc>
          <w:tcPr>
            <w:tcW w:w="332" w:type="pct"/>
            <w:tcBorders>
              <w:top w:val="nil"/>
              <w:left w:val="nil"/>
              <w:bottom w:val="single" w:color="auto" w:sz="4" w:space="0"/>
              <w:right w:val="single" w:color="auto" w:sz="4" w:space="0"/>
            </w:tcBorders>
            <w:shd w:val="clear" w:color="auto" w:fill="auto"/>
            <w:noWrap/>
            <w:vAlign w:val="center"/>
          </w:tcPr>
          <w:p>
            <w:pPr>
              <w:widowControl/>
              <w:jc w:val="right"/>
              <w:rPr>
                <w:rFonts w:cs="宋体"/>
                <w:color w:val="000000"/>
                <w:kern w:val="0"/>
                <w:szCs w:val="21"/>
              </w:rPr>
            </w:pPr>
          </w:p>
        </w:tc>
        <w:tc>
          <w:tcPr>
            <w:tcW w:w="1738" w:type="pct"/>
            <w:gridSpan w:val="2"/>
            <w:tcBorders>
              <w:top w:val="nil"/>
              <w:left w:val="nil"/>
              <w:bottom w:val="single" w:color="auto" w:sz="4" w:space="0"/>
              <w:right w:val="single" w:color="auto" w:sz="4" w:space="0"/>
            </w:tcBorders>
            <w:shd w:val="clear" w:color="auto" w:fill="auto"/>
            <w:noWrap/>
            <w:vAlign w:val="center"/>
          </w:tcPr>
          <w:p>
            <w:pPr>
              <w:widowControl/>
              <w:jc w:val="right"/>
              <w:rPr>
                <w:rFonts w:cs="宋体"/>
                <w:color w:val="000000"/>
                <w:kern w:val="0"/>
                <w:szCs w:val="21"/>
              </w:rPr>
            </w:pPr>
          </w:p>
        </w:tc>
      </w:tr>
      <w:tr>
        <w:tblPrEx>
          <w:tblCellMar>
            <w:top w:w="0" w:type="dxa"/>
            <w:left w:w="108" w:type="dxa"/>
            <w:bottom w:w="0" w:type="dxa"/>
            <w:right w:w="108" w:type="dxa"/>
          </w:tblCellMar>
        </w:tblPrEx>
        <w:trPr>
          <w:trHeight w:val="720" w:hRule="atLeast"/>
        </w:trPr>
        <w:tc>
          <w:tcPr>
            <w:tcW w:w="2930" w:type="pct"/>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（二）汽车（台、辆）</w:t>
            </w:r>
          </w:p>
        </w:tc>
        <w:tc>
          <w:tcPr>
            <w:tcW w:w="332" w:type="pct"/>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kern w:val="0"/>
                <w:sz w:val="22"/>
              </w:rPr>
            </w:pPr>
          </w:p>
        </w:tc>
        <w:tc>
          <w:tcPr>
            <w:tcW w:w="1738" w:type="pct"/>
            <w:gridSpan w:val="2"/>
            <w:tcBorders>
              <w:top w:val="nil"/>
              <w:left w:val="nil"/>
              <w:bottom w:val="single" w:color="auto" w:sz="4" w:space="0"/>
              <w:right w:val="single" w:color="auto" w:sz="4" w:space="0"/>
            </w:tcBorders>
            <w:shd w:val="clear" w:color="auto" w:fill="auto"/>
            <w:noWrap/>
            <w:vAlign w:val="center"/>
          </w:tcPr>
          <w:p>
            <w:pPr>
              <w:widowControl/>
              <w:jc w:val="right"/>
              <w:rPr>
                <w:rFonts w:cs="宋体"/>
                <w:color w:val="000000"/>
                <w:kern w:val="0"/>
                <w:szCs w:val="21"/>
              </w:rPr>
            </w:pPr>
          </w:p>
        </w:tc>
      </w:tr>
      <w:tr>
        <w:tblPrEx>
          <w:tblCellMar>
            <w:top w:w="0" w:type="dxa"/>
            <w:left w:w="108" w:type="dxa"/>
            <w:bottom w:w="0" w:type="dxa"/>
            <w:right w:w="108" w:type="dxa"/>
          </w:tblCellMar>
        </w:tblPrEx>
        <w:trPr>
          <w:trHeight w:val="555" w:hRule="atLeast"/>
        </w:trPr>
        <w:tc>
          <w:tcPr>
            <w:tcW w:w="2930" w:type="pct"/>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cs="宋体"/>
                <w:color w:val="000000"/>
                <w:kern w:val="0"/>
                <w:szCs w:val="21"/>
              </w:rPr>
            </w:pPr>
            <w:r>
              <w:rPr>
                <w:rFonts w:cs="宋体"/>
                <w:color w:val="000000"/>
                <w:kern w:val="0"/>
                <w:szCs w:val="21"/>
              </w:rPr>
              <w:t>1</w:t>
            </w:r>
            <w:r>
              <w:rPr>
                <w:rFonts w:hint="eastAsia" w:ascii="宋体" w:hAnsi="宋体" w:cs="宋体"/>
                <w:color w:val="000000"/>
                <w:kern w:val="0"/>
                <w:szCs w:val="21"/>
              </w:rPr>
              <w:t>、轿车</w:t>
            </w:r>
          </w:p>
        </w:tc>
        <w:tc>
          <w:tcPr>
            <w:tcW w:w="332" w:type="pct"/>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1738" w:type="pct"/>
            <w:gridSpan w:val="2"/>
            <w:tcBorders>
              <w:top w:val="nil"/>
              <w:left w:val="nil"/>
              <w:bottom w:val="single" w:color="auto" w:sz="4" w:space="0"/>
              <w:right w:val="single" w:color="auto" w:sz="4" w:space="0"/>
            </w:tcBorders>
            <w:shd w:val="clear" w:color="auto" w:fill="auto"/>
            <w:noWrap/>
            <w:vAlign w:val="center"/>
          </w:tcPr>
          <w:p>
            <w:pPr>
              <w:widowControl/>
              <w:jc w:val="right"/>
              <w:rPr>
                <w:rFonts w:cs="宋体"/>
                <w:color w:val="000000"/>
                <w:kern w:val="0"/>
                <w:szCs w:val="21"/>
              </w:rPr>
            </w:pPr>
            <w:r>
              <w:rPr>
                <w:rFonts w:hint="eastAsia" w:cs="宋体"/>
                <w:color w:val="000000"/>
                <w:kern w:val="0"/>
                <w:szCs w:val="21"/>
              </w:rPr>
              <w:t>11</w:t>
            </w:r>
          </w:p>
        </w:tc>
      </w:tr>
      <w:tr>
        <w:tblPrEx>
          <w:tblCellMar>
            <w:top w:w="0" w:type="dxa"/>
            <w:left w:w="108" w:type="dxa"/>
            <w:bottom w:w="0" w:type="dxa"/>
            <w:right w:w="108" w:type="dxa"/>
          </w:tblCellMar>
        </w:tblPrEx>
        <w:trPr>
          <w:trHeight w:val="555" w:hRule="atLeast"/>
        </w:trPr>
        <w:tc>
          <w:tcPr>
            <w:tcW w:w="2930" w:type="pct"/>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cs="宋体"/>
                <w:color w:val="000000"/>
                <w:kern w:val="0"/>
                <w:szCs w:val="21"/>
              </w:rPr>
            </w:pPr>
            <w:r>
              <w:rPr>
                <w:rFonts w:cs="宋体"/>
                <w:color w:val="000000"/>
                <w:kern w:val="0"/>
                <w:szCs w:val="21"/>
              </w:rPr>
              <w:t>2</w:t>
            </w:r>
            <w:r>
              <w:rPr>
                <w:rFonts w:hint="eastAsia" w:ascii="宋体" w:hAnsi="宋体" w:cs="宋体"/>
                <w:color w:val="000000"/>
                <w:kern w:val="0"/>
                <w:szCs w:val="21"/>
              </w:rPr>
              <w:t>、小型载客汽车</w:t>
            </w:r>
          </w:p>
        </w:tc>
        <w:tc>
          <w:tcPr>
            <w:tcW w:w="332" w:type="pct"/>
            <w:tcBorders>
              <w:top w:val="nil"/>
              <w:left w:val="nil"/>
              <w:bottom w:val="single" w:color="auto" w:sz="4" w:space="0"/>
              <w:right w:val="single" w:color="auto" w:sz="4" w:space="0"/>
            </w:tcBorders>
            <w:shd w:val="clear" w:color="auto" w:fill="auto"/>
            <w:noWrap/>
            <w:vAlign w:val="center"/>
          </w:tcPr>
          <w:p>
            <w:pPr>
              <w:widowControl/>
              <w:jc w:val="right"/>
              <w:rPr>
                <w:rFonts w:cs="宋体"/>
                <w:color w:val="000000"/>
                <w:kern w:val="0"/>
                <w:szCs w:val="21"/>
              </w:rPr>
            </w:pPr>
          </w:p>
        </w:tc>
        <w:tc>
          <w:tcPr>
            <w:tcW w:w="1738" w:type="pct"/>
            <w:gridSpan w:val="2"/>
            <w:tcBorders>
              <w:top w:val="nil"/>
              <w:left w:val="nil"/>
              <w:bottom w:val="single" w:color="auto" w:sz="4" w:space="0"/>
              <w:right w:val="single" w:color="auto" w:sz="4" w:space="0"/>
            </w:tcBorders>
            <w:shd w:val="clear" w:color="auto" w:fill="auto"/>
            <w:noWrap/>
            <w:vAlign w:val="center"/>
          </w:tcPr>
          <w:p>
            <w:pPr>
              <w:widowControl/>
              <w:jc w:val="right"/>
              <w:rPr>
                <w:rFonts w:cs="宋体"/>
                <w:color w:val="000000"/>
                <w:kern w:val="0"/>
                <w:szCs w:val="21"/>
              </w:rPr>
            </w:pPr>
          </w:p>
        </w:tc>
      </w:tr>
      <w:tr>
        <w:tblPrEx>
          <w:tblCellMar>
            <w:top w:w="0" w:type="dxa"/>
            <w:left w:w="108" w:type="dxa"/>
            <w:bottom w:w="0" w:type="dxa"/>
            <w:right w:w="108" w:type="dxa"/>
          </w:tblCellMar>
        </w:tblPrEx>
        <w:trPr>
          <w:trHeight w:val="555" w:hRule="atLeast"/>
        </w:trPr>
        <w:tc>
          <w:tcPr>
            <w:tcW w:w="2930" w:type="pct"/>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cs="宋体"/>
                <w:color w:val="000000"/>
                <w:kern w:val="0"/>
                <w:szCs w:val="21"/>
              </w:rPr>
            </w:pPr>
            <w:r>
              <w:rPr>
                <w:rFonts w:cs="宋体"/>
                <w:color w:val="000000"/>
                <w:kern w:val="0"/>
                <w:szCs w:val="21"/>
              </w:rPr>
              <w:t>3</w:t>
            </w:r>
            <w:r>
              <w:rPr>
                <w:rFonts w:hint="eastAsia" w:ascii="宋体" w:hAnsi="宋体" w:cs="宋体"/>
                <w:color w:val="000000"/>
                <w:kern w:val="0"/>
                <w:szCs w:val="21"/>
              </w:rPr>
              <w:t>、其他车型</w:t>
            </w:r>
          </w:p>
        </w:tc>
        <w:tc>
          <w:tcPr>
            <w:tcW w:w="332" w:type="pct"/>
            <w:tcBorders>
              <w:top w:val="nil"/>
              <w:left w:val="nil"/>
              <w:bottom w:val="single" w:color="auto" w:sz="4" w:space="0"/>
              <w:right w:val="single" w:color="auto" w:sz="4" w:space="0"/>
            </w:tcBorders>
            <w:shd w:val="clear" w:color="auto" w:fill="auto"/>
            <w:noWrap/>
            <w:vAlign w:val="center"/>
          </w:tcPr>
          <w:p>
            <w:pPr>
              <w:widowControl/>
              <w:jc w:val="right"/>
              <w:rPr>
                <w:rFonts w:cs="宋体"/>
                <w:color w:val="000000"/>
                <w:kern w:val="0"/>
                <w:szCs w:val="21"/>
              </w:rPr>
            </w:pPr>
          </w:p>
        </w:tc>
        <w:tc>
          <w:tcPr>
            <w:tcW w:w="1738" w:type="pct"/>
            <w:gridSpan w:val="2"/>
            <w:tcBorders>
              <w:top w:val="nil"/>
              <w:left w:val="nil"/>
              <w:bottom w:val="single" w:color="auto" w:sz="4" w:space="0"/>
              <w:right w:val="single" w:color="auto" w:sz="4" w:space="0"/>
            </w:tcBorders>
            <w:shd w:val="clear" w:color="auto" w:fill="auto"/>
            <w:noWrap/>
            <w:vAlign w:val="center"/>
          </w:tcPr>
          <w:p>
            <w:pPr>
              <w:widowControl/>
              <w:jc w:val="right"/>
              <w:rPr>
                <w:rFonts w:cs="宋体"/>
                <w:color w:val="000000"/>
                <w:kern w:val="0"/>
                <w:szCs w:val="21"/>
              </w:rPr>
            </w:pPr>
          </w:p>
        </w:tc>
      </w:tr>
      <w:tr>
        <w:tblPrEx>
          <w:tblCellMar>
            <w:top w:w="0" w:type="dxa"/>
            <w:left w:w="108" w:type="dxa"/>
            <w:bottom w:w="0" w:type="dxa"/>
            <w:right w:w="108" w:type="dxa"/>
          </w:tblCellMar>
        </w:tblPrEx>
        <w:trPr>
          <w:trHeight w:val="555" w:hRule="atLeast"/>
        </w:trPr>
        <w:tc>
          <w:tcPr>
            <w:tcW w:w="2930" w:type="pct"/>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cs="宋体"/>
                <w:color w:val="000000"/>
                <w:kern w:val="0"/>
                <w:szCs w:val="21"/>
              </w:rPr>
            </w:pPr>
            <w:r>
              <w:rPr>
                <w:rFonts w:hint="eastAsia" w:ascii="宋体" w:hAnsi="宋体" w:cs="宋体"/>
                <w:color w:val="000000"/>
                <w:kern w:val="0"/>
                <w:szCs w:val="21"/>
              </w:rPr>
              <w:t>（三）单价在</w:t>
            </w:r>
            <w:r>
              <w:rPr>
                <w:rFonts w:cs="宋体"/>
                <w:color w:val="000000"/>
                <w:kern w:val="0"/>
                <w:szCs w:val="21"/>
              </w:rPr>
              <w:t>20</w:t>
            </w:r>
            <w:r>
              <w:rPr>
                <w:rFonts w:hint="eastAsia" w:ascii="宋体" w:hAnsi="宋体" w:cs="宋体"/>
                <w:color w:val="000000"/>
                <w:kern w:val="0"/>
                <w:szCs w:val="21"/>
              </w:rPr>
              <w:t>万元以上的设备（台、涛）</w:t>
            </w:r>
          </w:p>
        </w:tc>
        <w:tc>
          <w:tcPr>
            <w:tcW w:w="332" w:type="pct"/>
            <w:tcBorders>
              <w:top w:val="nil"/>
              <w:left w:val="nil"/>
              <w:bottom w:val="single" w:color="auto" w:sz="4" w:space="0"/>
              <w:right w:val="single" w:color="auto" w:sz="4" w:space="0"/>
            </w:tcBorders>
            <w:shd w:val="clear" w:color="auto" w:fill="auto"/>
            <w:noWrap/>
            <w:vAlign w:val="center"/>
          </w:tcPr>
          <w:p>
            <w:pPr>
              <w:widowControl/>
              <w:jc w:val="right"/>
              <w:rPr>
                <w:rFonts w:cs="宋体"/>
                <w:color w:val="000000"/>
                <w:kern w:val="0"/>
                <w:szCs w:val="21"/>
              </w:rPr>
            </w:pPr>
          </w:p>
        </w:tc>
        <w:tc>
          <w:tcPr>
            <w:tcW w:w="1738" w:type="pct"/>
            <w:gridSpan w:val="2"/>
            <w:tcBorders>
              <w:top w:val="nil"/>
              <w:left w:val="nil"/>
              <w:bottom w:val="single" w:color="auto" w:sz="4" w:space="0"/>
              <w:right w:val="single" w:color="auto" w:sz="4" w:space="0"/>
            </w:tcBorders>
            <w:shd w:val="clear" w:color="auto" w:fill="auto"/>
            <w:noWrap/>
            <w:vAlign w:val="center"/>
          </w:tcPr>
          <w:p>
            <w:pPr>
              <w:widowControl/>
              <w:jc w:val="right"/>
              <w:rPr>
                <w:rFonts w:cs="宋体"/>
                <w:color w:val="000000"/>
                <w:kern w:val="0"/>
                <w:szCs w:val="21"/>
              </w:rPr>
            </w:pPr>
          </w:p>
        </w:tc>
      </w:tr>
      <w:tr>
        <w:tblPrEx>
          <w:tblCellMar>
            <w:top w:w="0" w:type="dxa"/>
            <w:left w:w="108" w:type="dxa"/>
            <w:bottom w:w="0" w:type="dxa"/>
            <w:right w:w="108" w:type="dxa"/>
          </w:tblCellMar>
        </w:tblPrEx>
        <w:trPr>
          <w:trHeight w:val="555" w:hRule="atLeast"/>
        </w:trPr>
        <w:tc>
          <w:tcPr>
            <w:tcW w:w="2930" w:type="pct"/>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cs="宋体"/>
                <w:color w:val="000000"/>
                <w:kern w:val="0"/>
                <w:szCs w:val="21"/>
              </w:rPr>
            </w:pPr>
            <w:r>
              <w:rPr>
                <w:rFonts w:hint="eastAsia" w:ascii="宋体" w:hAnsi="宋体" w:cs="宋体"/>
                <w:color w:val="000000"/>
                <w:kern w:val="0"/>
                <w:szCs w:val="21"/>
              </w:rPr>
              <w:t>单价在</w:t>
            </w:r>
            <w:r>
              <w:rPr>
                <w:rFonts w:cs="宋体"/>
                <w:color w:val="000000"/>
                <w:kern w:val="0"/>
                <w:szCs w:val="21"/>
              </w:rPr>
              <w:t>20</w:t>
            </w:r>
            <w:r>
              <w:rPr>
                <w:rFonts w:hint="eastAsia" w:ascii="宋体" w:hAnsi="宋体" w:cs="宋体"/>
                <w:color w:val="000000"/>
                <w:kern w:val="0"/>
                <w:szCs w:val="21"/>
              </w:rPr>
              <w:t>万元（含）</w:t>
            </w:r>
            <w:r>
              <w:rPr>
                <w:rFonts w:cs="宋体"/>
                <w:color w:val="000000"/>
                <w:kern w:val="0"/>
                <w:szCs w:val="21"/>
              </w:rPr>
              <w:t>-200</w:t>
            </w:r>
            <w:r>
              <w:rPr>
                <w:rFonts w:hint="eastAsia" w:ascii="宋体" w:hAnsi="宋体" w:cs="宋体"/>
                <w:color w:val="000000"/>
                <w:kern w:val="0"/>
                <w:szCs w:val="21"/>
              </w:rPr>
              <w:t>万元</w:t>
            </w:r>
          </w:p>
        </w:tc>
        <w:tc>
          <w:tcPr>
            <w:tcW w:w="332" w:type="pct"/>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2"/>
              </w:rPr>
            </w:pPr>
          </w:p>
        </w:tc>
        <w:tc>
          <w:tcPr>
            <w:tcW w:w="1738" w:type="pct"/>
            <w:gridSpan w:val="2"/>
            <w:tcBorders>
              <w:top w:val="nil"/>
              <w:left w:val="nil"/>
              <w:bottom w:val="single" w:color="auto" w:sz="4" w:space="0"/>
              <w:right w:val="single" w:color="auto" w:sz="4" w:space="0"/>
            </w:tcBorders>
            <w:shd w:val="clear" w:color="auto" w:fill="auto"/>
            <w:noWrap/>
            <w:vAlign w:val="center"/>
          </w:tcPr>
          <w:p>
            <w:pPr>
              <w:widowControl/>
              <w:jc w:val="right"/>
              <w:rPr>
                <w:rFonts w:cs="宋体"/>
                <w:color w:val="000000"/>
                <w:kern w:val="0"/>
                <w:szCs w:val="21"/>
              </w:rPr>
            </w:pPr>
          </w:p>
        </w:tc>
      </w:tr>
      <w:tr>
        <w:tblPrEx>
          <w:tblCellMar>
            <w:top w:w="0" w:type="dxa"/>
            <w:left w:w="108" w:type="dxa"/>
            <w:bottom w:w="0" w:type="dxa"/>
            <w:right w:w="108" w:type="dxa"/>
          </w:tblCellMar>
        </w:tblPrEx>
        <w:trPr>
          <w:trHeight w:val="555" w:hRule="atLeast"/>
        </w:trPr>
        <w:tc>
          <w:tcPr>
            <w:tcW w:w="2930" w:type="pct"/>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cs="宋体"/>
                <w:color w:val="000000"/>
                <w:kern w:val="0"/>
                <w:szCs w:val="21"/>
              </w:rPr>
            </w:pPr>
            <w:r>
              <w:rPr>
                <w:rFonts w:hint="eastAsia" w:ascii="宋体" w:hAnsi="宋体" w:cs="宋体"/>
                <w:color w:val="000000"/>
                <w:kern w:val="0"/>
                <w:szCs w:val="21"/>
              </w:rPr>
              <w:t>（四）其他固定资产</w:t>
            </w:r>
          </w:p>
        </w:tc>
        <w:tc>
          <w:tcPr>
            <w:tcW w:w="332" w:type="pct"/>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2"/>
              </w:rPr>
            </w:pPr>
          </w:p>
        </w:tc>
        <w:tc>
          <w:tcPr>
            <w:tcW w:w="1738" w:type="pct"/>
            <w:gridSpan w:val="2"/>
            <w:tcBorders>
              <w:top w:val="nil"/>
              <w:left w:val="nil"/>
              <w:bottom w:val="single" w:color="auto" w:sz="4" w:space="0"/>
              <w:right w:val="single" w:color="auto" w:sz="4" w:space="0"/>
            </w:tcBorders>
            <w:shd w:val="clear" w:color="auto" w:fill="auto"/>
            <w:noWrap/>
            <w:vAlign w:val="center"/>
          </w:tcPr>
          <w:p>
            <w:pPr>
              <w:widowControl/>
              <w:jc w:val="right"/>
              <w:rPr>
                <w:rFonts w:cs="宋体"/>
                <w:color w:val="000000"/>
                <w:kern w:val="0"/>
                <w:szCs w:val="21"/>
              </w:rPr>
            </w:pPr>
            <w:r>
              <w:rPr>
                <w:rFonts w:hint="eastAsia" w:cs="宋体"/>
                <w:color w:val="000000"/>
                <w:kern w:val="0"/>
                <w:szCs w:val="21"/>
              </w:rPr>
              <w:t>111.36</w:t>
            </w:r>
          </w:p>
        </w:tc>
      </w:tr>
    </w:tbl>
    <w:p>
      <w:pPr>
        <w:ind w:firstLine="640" w:firstLineChars="200"/>
        <w:rPr>
          <w:rFonts w:ascii="仿宋" w:hAnsi="仿宋" w:eastAsia="仿宋" w:cs="仿宋"/>
          <w:sz w:val="32"/>
          <w:szCs w:val="32"/>
        </w:rPr>
      </w:pP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仿宋" w:hAnsi="仿宋" w:eastAsia="仿宋" w:cs="仿宋"/>
          <w:sz w:val="32"/>
          <w:szCs w:val="32"/>
        </w:rPr>
      </w:pPr>
      <w:r>
        <w:rPr>
          <w:rFonts w:hint="eastAsia" w:ascii="仿宋" w:hAnsi="仿宋" w:eastAsia="仿宋" w:cs="仿宋"/>
          <w:sz w:val="32"/>
          <w:szCs w:val="32"/>
        </w:rPr>
        <w:t>1、一般公共预算拨款收入：指县级财政当年拨付的资金。</w:t>
      </w:r>
    </w:p>
    <w:p>
      <w:pPr>
        <w:ind w:firstLine="640" w:firstLineChars="200"/>
        <w:rPr>
          <w:rFonts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pPr>
        <w:ind w:firstLine="640" w:firstLineChars="200"/>
        <w:rPr>
          <w:rFonts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pPr>
        <w:ind w:firstLine="640" w:firstLineChars="200"/>
        <w:rPr>
          <w:rFonts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pPr>
        <w:ind w:firstLine="640" w:firstLineChars="200"/>
        <w:rPr>
          <w:rFonts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pPr>
        <w:ind w:firstLine="640" w:firstLineChars="200"/>
        <w:rPr>
          <w:rFonts w:ascii="仿宋" w:hAnsi="仿宋" w:eastAsia="仿宋" w:cs="仿宋"/>
          <w:sz w:val="32"/>
          <w:szCs w:val="32"/>
        </w:rPr>
      </w:pPr>
      <w:r>
        <w:rPr>
          <w:rFonts w:hint="eastAsia" w:ascii="仿宋" w:hAnsi="仿宋" w:eastAsia="仿宋" w:cs="仿宋"/>
          <w:sz w:val="32"/>
          <w:szCs w:val="32"/>
        </w:rPr>
        <w:t>6、上缴上级支出：指下级单位上缴上级的支出。</w:t>
      </w:r>
    </w:p>
    <w:p>
      <w:pPr>
        <w:ind w:firstLine="640" w:firstLineChars="200"/>
        <w:rPr>
          <w:rFonts w:ascii="仿宋" w:hAnsi="仿宋" w:eastAsia="仿宋" w:cs="仿宋"/>
          <w:sz w:val="32"/>
          <w:szCs w:val="32"/>
        </w:rPr>
      </w:pPr>
      <w:r>
        <w:rPr>
          <w:rFonts w:hint="eastAsia" w:ascii="仿宋" w:hAnsi="仿宋" w:eastAsia="仿宋" w:cs="仿宋"/>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ind w:firstLine="640" w:firstLineChars="200"/>
        <w:rPr>
          <w:rFonts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roman"/>
    <w:pitch w:val="default"/>
    <w:sig w:usb0="A00002BF" w:usb1="38CF7CFA" w:usb2="00082016" w:usb3="00000000" w:csb0="00040001" w:csb1="00000000"/>
  </w:font>
  <w:font w:name="仿宋_GB2312">
    <w:panose1 w:val="02010609030101010101"/>
    <w:charset w:val="86"/>
    <w:family w:val="modern"/>
    <w:pitch w:val="default"/>
    <w:sig w:usb0="00000001" w:usb1="080E0000" w:usb2="00000000" w:usb3="00000000" w:csb0="00040000" w:csb1="00000000"/>
  </w:font>
  <w:font w:name="方正书宋_GBK">
    <w:panose1 w:val="02000000000000000000"/>
    <w:charset w:val="86"/>
    <w:family w:val="roman"/>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GQwMTcxMTU2MDMzNmYyMzQ0ZWU0YWEwNDg4ZWM5NGMifQ=="/>
  </w:docVars>
  <w:rsids>
    <w:rsidRoot w:val="00F66032"/>
    <w:rsid w:val="000013BC"/>
    <w:rsid w:val="00034786"/>
    <w:rsid w:val="00037AF6"/>
    <w:rsid w:val="00042F57"/>
    <w:rsid w:val="0006483E"/>
    <w:rsid w:val="00075D5F"/>
    <w:rsid w:val="0008102F"/>
    <w:rsid w:val="000B529B"/>
    <w:rsid w:val="000C3A19"/>
    <w:rsid w:val="001245BB"/>
    <w:rsid w:val="001251A3"/>
    <w:rsid w:val="00165294"/>
    <w:rsid w:val="00177758"/>
    <w:rsid w:val="00190620"/>
    <w:rsid w:val="001B4EF3"/>
    <w:rsid w:val="001E5956"/>
    <w:rsid w:val="001F460C"/>
    <w:rsid w:val="001F7873"/>
    <w:rsid w:val="00241FD4"/>
    <w:rsid w:val="00251B12"/>
    <w:rsid w:val="00296113"/>
    <w:rsid w:val="002A673A"/>
    <w:rsid w:val="002C07BE"/>
    <w:rsid w:val="002C5E13"/>
    <w:rsid w:val="002C62BC"/>
    <w:rsid w:val="002E0EB8"/>
    <w:rsid w:val="002E6CAA"/>
    <w:rsid w:val="002F3E58"/>
    <w:rsid w:val="0030542C"/>
    <w:rsid w:val="00311B7A"/>
    <w:rsid w:val="00372FA3"/>
    <w:rsid w:val="003D417F"/>
    <w:rsid w:val="003F60E9"/>
    <w:rsid w:val="004248B8"/>
    <w:rsid w:val="00424943"/>
    <w:rsid w:val="0043175C"/>
    <w:rsid w:val="00437296"/>
    <w:rsid w:val="00451590"/>
    <w:rsid w:val="00451871"/>
    <w:rsid w:val="004631FC"/>
    <w:rsid w:val="004706DE"/>
    <w:rsid w:val="00472923"/>
    <w:rsid w:val="00480C64"/>
    <w:rsid w:val="0049326C"/>
    <w:rsid w:val="00496109"/>
    <w:rsid w:val="004B0C3A"/>
    <w:rsid w:val="004B22C6"/>
    <w:rsid w:val="004D5788"/>
    <w:rsid w:val="004E3066"/>
    <w:rsid w:val="004E74CD"/>
    <w:rsid w:val="00516E04"/>
    <w:rsid w:val="00565588"/>
    <w:rsid w:val="00572067"/>
    <w:rsid w:val="00573562"/>
    <w:rsid w:val="00590ECE"/>
    <w:rsid w:val="00592ADD"/>
    <w:rsid w:val="00614A29"/>
    <w:rsid w:val="00621D06"/>
    <w:rsid w:val="00643AA7"/>
    <w:rsid w:val="00673D76"/>
    <w:rsid w:val="00674CD7"/>
    <w:rsid w:val="006854F0"/>
    <w:rsid w:val="006B1C4A"/>
    <w:rsid w:val="006B610D"/>
    <w:rsid w:val="006D1F48"/>
    <w:rsid w:val="006E49F5"/>
    <w:rsid w:val="007013C8"/>
    <w:rsid w:val="00717B1E"/>
    <w:rsid w:val="00752367"/>
    <w:rsid w:val="00753836"/>
    <w:rsid w:val="0075393C"/>
    <w:rsid w:val="00754592"/>
    <w:rsid w:val="00776C08"/>
    <w:rsid w:val="007B744D"/>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E4261"/>
    <w:rsid w:val="008F4662"/>
    <w:rsid w:val="00905D08"/>
    <w:rsid w:val="00922AEB"/>
    <w:rsid w:val="00925753"/>
    <w:rsid w:val="00937C21"/>
    <w:rsid w:val="009425F4"/>
    <w:rsid w:val="00966C5C"/>
    <w:rsid w:val="00973104"/>
    <w:rsid w:val="00995BF0"/>
    <w:rsid w:val="009A16D5"/>
    <w:rsid w:val="009A353D"/>
    <w:rsid w:val="009B0B77"/>
    <w:rsid w:val="009B511E"/>
    <w:rsid w:val="009D117F"/>
    <w:rsid w:val="00A44E3D"/>
    <w:rsid w:val="00A72D2E"/>
    <w:rsid w:val="00A74447"/>
    <w:rsid w:val="00A74CE5"/>
    <w:rsid w:val="00A911E7"/>
    <w:rsid w:val="00A939D9"/>
    <w:rsid w:val="00A95B07"/>
    <w:rsid w:val="00B07D9E"/>
    <w:rsid w:val="00B20712"/>
    <w:rsid w:val="00B43238"/>
    <w:rsid w:val="00B45DD3"/>
    <w:rsid w:val="00B52632"/>
    <w:rsid w:val="00B727A9"/>
    <w:rsid w:val="00B75216"/>
    <w:rsid w:val="00B91D52"/>
    <w:rsid w:val="00B9490F"/>
    <w:rsid w:val="00BA1ACD"/>
    <w:rsid w:val="00BD09F8"/>
    <w:rsid w:val="00C00323"/>
    <w:rsid w:val="00CA7176"/>
    <w:rsid w:val="00CB3D48"/>
    <w:rsid w:val="00CB4665"/>
    <w:rsid w:val="00CC75B0"/>
    <w:rsid w:val="00CD2773"/>
    <w:rsid w:val="00CE143B"/>
    <w:rsid w:val="00CF13C1"/>
    <w:rsid w:val="00D0024A"/>
    <w:rsid w:val="00D27003"/>
    <w:rsid w:val="00D37387"/>
    <w:rsid w:val="00DB4A9B"/>
    <w:rsid w:val="00E167C7"/>
    <w:rsid w:val="00E2482E"/>
    <w:rsid w:val="00E73D47"/>
    <w:rsid w:val="00EC47F6"/>
    <w:rsid w:val="00EE156D"/>
    <w:rsid w:val="00EE65B8"/>
    <w:rsid w:val="00F149E2"/>
    <w:rsid w:val="00F66032"/>
    <w:rsid w:val="00F87C1E"/>
    <w:rsid w:val="00F958C2"/>
    <w:rsid w:val="29BD6697"/>
    <w:rsid w:val="2C562075"/>
    <w:rsid w:val="36801CC7"/>
    <w:rsid w:val="4FE50423"/>
    <w:rsid w:val="59114996"/>
    <w:rsid w:val="5A38173F"/>
    <w:rsid w:val="7BDC323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5"/>
    <w:unhideWhenUsed/>
    <w:qFormat/>
    <w:uiPriority w:val="99"/>
    <w:rPr>
      <w:sz w:val="18"/>
      <w:szCs w:val="18"/>
    </w:rPr>
  </w:style>
  <w:style w:type="paragraph" w:styleId="3">
    <w:name w:val="footer"/>
    <w:basedOn w:val="1"/>
    <w:link w:val="14"/>
    <w:autoRedefine/>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autoRedefine/>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autoRedefine/>
    <w:qFormat/>
    <w:uiPriority w:val="39"/>
    <w:rPr>
      <w:rFonts w:ascii="Times New Roman" w:hAnsi="Times New Roman" w:eastAsia="宋体" w:cs="Times New Roman"/>
      <w:szCs w:val="24"/>
    </w:rPr>
  </w:style>
  <w:style w:type="paragraph" w:styleId="6">
    <w:name w:val="footnote text"/>
    <w:basedOn w:val="1"/>
    <w:link w:val="17"/>
    <w:autoRedefine/>
    <w:unhideWhenUsed/>
    <w:qFormat/>
    <w:uiPriority w:val="99"/>
    <w:pPr>
      <w:snapToGrid w:val="0"/>
      <w:jc w:val="left"/>
    </w:pPr>
    <w:rPr>
      <w:rFonts w:ascii="Calibri" w:hAnsi="Calibri" w:eastAsia="宋体" w:cs="Times New Roman"/>
      <w:sz w:val="18"/>
      <w:szCs w:val="18"/>
    </w:rPr>
  </w:style>
  <w:style w:type="paragraph" w:styleId="7">
    <w:name w:val="toc 2"/>
    <w:basedOn w:val="1"/>
    <w:next w:val="1"/>
    <w:autoRedefine/>
    <w:qFormat/>
    <w:uiPriority w:val="39"/>
    <w:pPr>
      <w:ind w:left="420" w:leftChars="200"/>
    </w:pPr>
    <w:rPr>
      <w:rFonts w:ascii="Times New Roman" w:hAnsi="Times New Roman" w:eastAsia="宋体" w:cs="Times New Roman"/>
      <w:szCs w:val="24"/>
    </w:rPr>
  </w:style>
  <w:style w:type="character" w:styleId="10">
    <w:name w:val="page number"/>
    <w:autoRedefine/>
    <w:unhideWhenUsed/>
    <w:qFormat/>
    <w:uiPriority w:val="99"/>
  </w:style>
  <w:style w:type="character" w:styleId="11">
    <w:name w:val="Hyperlink"/>
    <w:autoRedefine/>
    <w:unhideWhenUsed/>
    <w:qFormat/>
    <w:uiPriority w:val="99"/>
    <w:rPr>
      <w:color w:val="0000FF"/>
      <w:u w:val="single"/>
    </w:rPr>
  </w:style>
  <w:style w:type="character" w:styleId="12">
    <w:name w:val="footnote reference"/>
    <w:autoRedefine/>
    <w:unhideWhenUsed/>
    <w:qFormat/>
    <w:uiPriority w:val="99"/>
    <w:rPr>
      <w:vertAlign w:val="superscript"/>
    </w:rPr>
  </w:style>
  <w:style w:type="character" w:customStyle="1" w:styleId="13">
    <w:name w:val="页眉 Char"/>
    <w:basedOn w:val="9"/>
    <w:link w:val="4"/>
    <w:qFormat/>
    <w:uiPriority w:val="99"/>
    <w:rPr>
      <w:rFonts w:ascii="Times New Roman" w:hAnsi="Times New Roman" w:eastAsia="宋体" w:cs="Times New Roman"/>
      <w:sz w:val="18"/>
      <w:szCs w:val="18"/>
    </w:rPr>
  </w:style>
  <w:style w:type="character" w:customStyle="1" w:styleId="14">
    <w:name w:val="页脚 Char"/>
    <w:basedOn w:val="9"/>
    <w:link w:val="3"/>
    <w:autoRedefine/>
    <w:qFormat/>
    <w:uiPriority w:val="99"/>
    <w:rPr>
      <w:rFonts w:ascii="Times New Roman" w:hAnsi="Times New Roman" w:eastAsia="宋体" w:cs="Times New Roman"/>
      <w:sz w:val="18"/>
      <w:szCs w:val="18"/>
    </w:rPr>
  </w:style>
  <w:style w:type="character" w:customStyle="1" w:styleId="15">
    <w:name w:val="批注框文本 Char"/>
    <w:basedOn w:val="9"/>
    <w:link w:val="2"/>
    <w:autoRedefine/>
    <w:semiHidden/>
    <w:qFormat/>
    <w:uiPriority w:val="99"/>
    <w:rPr>
      <w:sz w:val="18"/>
      <w:szCs w:val="18"/>
    </w:rPr>
  </w:style>
  <w:style w:type="paragraph" w:customStyle="1" w:styleId="16">
    <w:name w:val="Default"/>
    <w:autoRedefine/>
    <w:qFormat/>
    <w:uiPriority w:val="0"/>
    <w:pPr>
      <w:widowControl w:val="0"/>
      <w:autoSpaceDE w:val="0"/>
      <w:autoSpaceDN w:val="0"/>
      <w:adjustRightInd w:val="0"/>
    </w:pPr>
    <w:rPr>
      <w:rFonts w:ascii="Times New Roman" w:hAnsi="Times New Roman" w:cs="Times New Roman" w:eastAsiaTheme="minorEastAsia"/>
      <w:color w:val="000000"/>
      <w:sz w:val="24"/>
      <w:szCs w:val="24"/>
      <w:lang w:val="en-US" w:eastAsia="zh-CN" w:bidi="ar-SA"/>
    </w:rPr>
  </w:style>
  <w:style w:type="character" w:customStyle="1" w:styleId="17">
    <w:name w:val="脚注文本 Char"/>
    <w:basedOn w:val="9"/>
    <w:link w:val="6"/>
    <w:autoRedefine/>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75D0D0-DD79-478C-B378-334FF9D5632B}">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13</Pages>
  <Words>889</Words>
  <Characters>5070</Characters>
  <Lines>42</Lines>
  <Paragraphs>11</Paragraphs>
  <TotalTime>2</TotalTime>
  <ScaleCrop>false</ScaleCrop>
  <LinksUpToDate>false</LinksUpToDate>
  <CharactersWithSpaces>5948</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阳</cp:lastModifiedBy>
  <cp:lastPrinted>2017-11-09T01:12:00Z</cp:lastPrinted>
  <dcterms:modified xsi:type="dcterms:W3CDTF">2024-02-23T07:49:26Z</dcterms:modified>
  <dc:title>河北省财政厅2019年部门预算信息公开情况说明</dc:title>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4F032598F57E4D18995C09F49EF97365</vt:lpwstr>
  </property>
</Properties>
</file>